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t>关于2026年度HIS系统运维服务的技术需求说明书</w:t>
      </w:r>
    </w:p>
    <w:p>
      <w:r>
        <w:rPr>
          <w:b/>
        </w:rPr>
        <w:t>一、 项目背景</w:t>
      </w:r>
    </w:p>
    <w:p>
      <w:pPr>
        <w:ind w:firstLine="420"/>
      </w:pPr>
      <w:r>
        <w:t>我院现有的</w:t>
      </w:r>
      <w:r>
        <w:rPr>
          <w:rFonts w:hint="eastAsia"/>
          <w:color w:val="FF0000"/>
        </w:rPr>
        <w:t>医院信息管理系统、电子病历系统等(系统清单详见附件：系统清单)</w:t>
      </w:r>
      <w:r>
        <w:t>是支撑全院门诊、住院、收费、药品、物资及财务核算等核心业务平稳运行的基础信息系统，其稳定性、安全性与高效性直接关系到医疗工作的正常秩序、医务人员的办公效率及患者的就医体验。</w:t>
      </w:r>
    </w:p>
    <w:p>
      <w:pPr>
        <w:ind w:firstLine="420" w:firstLineChars="200"/>
      </w:pPr>
      <w:r>
        <w:t>为保障HIS系统在2026年度能够持续、稳定、安全、高效地运行，并能及时响应业务变化与政策调整，特制定本技术需求说明书，旨在聘请</w:t>
      </w:r>
      <w:r>
        <w:rPr>
          <w:rFonts w:hint="eastAsia"/>
        </w:rPr>
        <w:t>有资质的专业技术</w:t>
      </w:r>
      <w:r>
        <w:t>公司（以下简称“乙方”）提供专业、及时的运维服务。</w:t>
      </w:r>
    </w:p>
    <w:p>
      <w:r>
        <w:rPr>
          <w:b/>
        </w:rPr>
        <w:t>二、 服务目标</w:t>
      </w:r>
    </w:p>
    <w:p>
      <w:pPr>
        <w:numPr>
          <w:ilvl w:val="0"/>
          <w:numId w:val="1"/>
        </w:numPr>
        <w:spacing w:beforeAutospacing="1" w:afterAutospacing="1"/>
      </w:pPr>
      <w:r>
        <w:rPr>
          <w:b/>
        </w:rPr>
        <w:t>高可用性保障</w:t>
      </w:r>
      <w:r>
        <w:t>：确保HIS系统全年整体可用性不低于99.9%，核心业务模块（挂号、收费、医嘱、药房）可用性不低于99.95%。</w:t>
      </w:r>
    </w:p>
    <w:p>
      <w:pPr>
        <w:numPr>
          <w:ilvl w:val="0"/>
          <w:numId w:val="1"/>
        </w:numPr>
        <w:spacing w:beforeAutospacing="1" w:afterAutospacing="1"/>
      </w:pPr>
      <w:r>
        <w:rPr>
          <w:b/>
        </w:rPr>
        <w:t>快速响应与解决</w:t>
      </w:r>
      <w:r>
        <w:t>：建立分级响应机制，对不同程度的事件与请求提供明确、及时的解决方案，最大限度减少系统中断对业务的影响。</w:t>
      </w:r>
    </w:p>
    <w:p>
      <w:pPr>
        <w:numPr>
          <w:ilvl w:val="0"/>
          <w:numId w:val="1"/>
        </w:numPr>
        <w:spacing w:beforeAutospacing="1" w:afterAutospacing="1"/>
      </w:pPr>
      <w:r>
        <w:rPr>
          <w:b/>
        </w:rPr>
        <w:t>安全性保障</w:t>
      </w:r>
      <w:r>
        <w:t>：及时应对系统漏洞、病毒威胁，确保系统与数据安全，符合国家网络安全等级保护2.0标准。</w:t>
      </w:r>
    </w:p>
    <w:p>
      <w:pPr>
        <w:numPr>
          <w:ilvl w:val="0"/>
          <w:numId w:val="1"/>
        </w:numPr>
        <w:spacing w:beforeAutospacing="1" w:afterAutospacing="1"/>
      </w:pPr>
      <w:r>
        <w:rPr>
          <w:b/>
        </w:rPr>
        <w:t>业务连续性</w:t>
      </w:r>
      <w:r>
        <w:t>：确保系统在应对医保政策变更、医院业务流程优化等需求时，能得到快速的技术支持与实现。</w:t>
      </w:r>
    </w:p>
    <w:p>
      <w:pPr>
        <w:numPr>
          <w:ilvl w:val="0"/>
          <w:numId w:val="1"/>
        </w:numPr>
        <w:spacing w:beforeAutospacing="1" w:afterAutospacing="1"/>
      </w:pPr>
      <w:r>
        <w:rPr>
          <w:b/>
        </w:rPr>
        <w:t>数据准确性</w:t>
      </w:r>
      <w:r>
        <w:t>：保障统计报表、核心业务数据的准确性与一致性，为医院管理决策提供可靠依据。</w:t>
      </w:r>
    </w:p>
    <w:p>
      <w:r>
        <w:rPr>
          <w:b/>
        </w:rPr>
        <w:t>三、 详细服务内容与要求</w:t>
      </w:r>
    </w:p>
    <w:p>
      <w:r>
        <w:rPr>
          <w:b/>
        </w:rPr>
        <w:t>1. 热线支持与远程服务</w:t>
      </w:r>
    </w:p>
    <w:p>
      <w:pPr>
        <w:numPr>
          <w:ilvl w:val="0"/>
          <w:numId w:val="2"/>
        </w:numPr>
        <w:spacing w:beforeAutospacing="1" w:afterAutospacing="1"/>
      </w:pPr>
      <w:r>
        <w:rPr>
          <w:b/>
        </w:rPr>
        <w:t>服务窗口</w:t>
      </w:r>
      <w:r>
        <w:t>：提供7x24小时不间断热线电话、即时通讯工具（如微信/钉钉群）支持。</w:t>
      </w:r>
    </w:p>
    <w:p>
      <w:pPr>
        <w:numPr>
          <w:ilvl w:val="0"/>
          <w:numId w:val="2"/>
        </w:numPr>
        <w:spacing w:beforeAutospacing="1" w:afterAutospacing="1"/>
      </w:pPr>
      <w:r>
        <w:rPr>
          <w:b/>
        </w:rPr>
        <w:t>响应范围</w:t>
      </w:r>
      <w:r>
        <w:t>：解答用户操作疑问，处理因操作不当引起的简单问题，并进行初步故障诊断。</w:t>
      </w:r>
    </w:p>
    <w:p>
      <w:pPr>
        <w:numPr>
          <w:ilvl w:val="0"/>
          <w:numId w:val="2"/>
        </w:numPr>
        <w:spacing w:beforeAutospacing="1" w:afterAutospacing="1"/>
      </w:pPr>
      <w:r>
        <w:rPr>
          <w:b/>
        </w:rPr>
        <w:t>远程处理</w:t>
      </w:r>
      <w:r>
        <w:t>：对于可通过远程方式解决的软件故障、配置问题等，需提供远程桌面支持。</w:t>
      </w:r>
    </w:p>
    <w:p>
      <w:r>
        <w:rPr>
          <w:b/>
        </w:rPr>
        <w:t>2. 现场应急响应服务</w:t>
      </w:r>
    </w:p>
    <w:p>
      <w:pPr>
        <w:numPr>
          <w:ilvl w:val="0"/>
          <w:numId w:val="3"/>
        </w:numPr>
        <w:spacing w:beforeAutospacing="1" w:afterAutospacing="1"/>
      </w:pPr>
      <w:r>
        <w:rPr>
          <w:b/>
        </w:rPr>
        <w:t>适用范围</w:t>
      </w:r>
      <w:r>
        <w:t>：针对系统崩溃、性能严重下降、大规模数据错误、核心功能无法使用等紧急重大故障。</w:t>
      </w:r>
    </w:p>
    <w:p>
      <w:pPr>
        <w:numPr>
          <w:ilvl w:val="0"/>
          <w:numId w:val="3"/>
        </w:numPr>
        <w:spacing w:beforeAutospacing="1" w:afterAutospacing="1"/>
      </w:pPr>
      <w:r>
        <w:rPr>
          <w:b/>
        </w:rPr>
        <w:t>服务承诺</w:t>
      </w:r>
      <w:r>
        <w:t>：乙方在接到现场支持请求后，</w:t>
      </w:r>
      <w:r>
        <w:rPr>
          <w:b/>
        </w:rPr>
        <w:t>高级工程师应在4小时内响应，并根据故障等级承诺到达现场</w:t>
      </w:r>
      <w:r>
        <w:t>：</w:t>
      </w:r>
    </w:p>
    <w:p>
      <w:pPr>
        <w:numPr>
          <w:ilvl w:val="1"/>
          <w:numId w:val="3"/>
        </w:numPr>
        <w:spacing w:beforeAutospacing="1" w:afterAutospacing="1"/>
      </w:pPr>
      <w:r>
        <w:rPr>
          <w:b/>
        </w:rPr>
        <w:t>P1级（致命故障）</w:t>
      </w:r>
      <w:r>
        <w:t>：系统瘫痪或核心业务中断，需在</w:t>
      </w:r>
      <w:r>
        <w:rPr>
          <w:b/>
        </w:rPr>
        <w:t>6小时</w:t>
      </w:r>
      <w:r>
        <w:t>内到达现场。</w:t>
      </w:r>
    </w:p>
    <w:p>
      <w:pPr>
        <w:numPr>
          <w:ilvl w:val="1"/>
          <w:numId w:val="3"/>
        </w:numPr>
        <w:spacing w:beforeAutospacing="1" w:afterAutospacing="1"/>
      </w:pPr>
      <w:r>
        <w:rPr>
          <w:b/>
        </w:rPr>
        <w:t>P2级（严重故障）</w:t>
      </w:r>
      <w:r>
        <w:t>：系统性能严重下降或部分核心功能失效，需在</w:t>
      </w:r>
      <w:r>
        <w:rPr>
          <w:b/>
        </w:rPr>
        <w:t>12小时</w:t>
      </w:r>
      <w:r>
        <w:t>内到达现场。</w:t>
      </w:r>
    </w:p>
    <w:p>
      <w:r>
        <w:rPr>
          <w:b/>
        </w:rPr>
        <w:t>3. 驻场工程师服务</w:t>
      </w:r>
    </w:p>
    <w:p>
      <w:pPr>
        <w:numPr>
          <w:ilvl w:val="0"/>
          <w:numId w:val="4"/>
        </w:numPr>
        <w:spacing w:beforeAutospacing="1" w:afterAutospacing="1"/>
      </w:pPr>
      <w:r>
        <w:rPr>
          <w:b/>
        </w:rPr>
        <w:t>人员要求</w:t>
      </w:r>
      <w:r>
        <w:t>：</w:t>
      </w:r>
      <w:r>
        <w:rPr>
          <w:rFonts w:hint="eastAsia"/>
        </w:rPr>
        <w:t>指定</w:t>
      </w:r>
      <w:r>
        <w:t>一名具备至少2年以上HIS系统运维经验的工程师</w:t>
      </w:r>
      <w:r>
        <w:rPr>
          <w:rFonts w:hint="eastAsia"/>
        </w:rPr>
        <w:t>负责对接</w:t>
      </w:r>
      <w:r>
        <w:t>我院</w:t>
      </w:r>
      <w:r>
        <w:rPr>
          <w:rFonts w:hint="eastAsia"/>
        </w:rPr>
        <w:t>信息科指定负责人</w:t>
      </w:r>
      <w:r>
        <w:t>。</w:t>
      </w:r>
    </w:p>
    <w:p>
      <w:pPr>
        <w:numPr>
          <w:ilvl w:val="0"/>
          <w:numId w:val="4"/>
        </w:numPr>
        <w:spacing w:beforeAutospacing="1" w:afterAutospacing="1"/>
      </w:pPr>
      <w:r>
        <w:rPr>
          <w:b/>
        </w:rPr>
        <w:t>职责范围</w:t>
      </w:r>
      <w:r>
        <w:t>：</w:t>
      </w:r>
    </w:p>
    <w:p>
      <w:pPr>
        <w:numPr>
          <w:ilvl w:val="1"/>
          <w:numId w:val="4"/>
        </w:numPr>
        <w:spacing w:beforeAutospacing="1" w:afterAutospacing="1"/>
      </w:pPr>
      <w:r>
        <w:t>处理日常的程序BUG分析与修复。</w:t>
      </w:r>
    </w:p>
    <w:p>
      <w:pPr>
        <w:numPr>
          <w:ilvl w:val="1"/>
          <w:numId w:val="4"/>
        </w:numPr>
        <w:spacing w:beforeAutospacing="1" w:afterAutospacing="1"/>
      </w:pPr>
      <w:r>
        <w:t>在院方授权与监督下，执行确因系统原因导致的数据修正操作，并出具操作记录报告。</w:t>
      </w:r>
    </w:p>
    <w:p>
      <w:pPr>
        <w:numPr>
          <w:ilvl w:val="1"/>
          <w:numId w:val="4"/>
        </w:numPr>
        <w:spacing w:beforeAutospacing="1" w:afterAutospacing="1"/>
      </w:pPr>
      <w:r>
        <w:t>负责HIS系统与第三方系统（如LIS、PACS、医保接口）的日常联调与问题排查。</w:t>
      </w:r>
    </w:p>
    <w:p>
      <w:pPr>
        <w:numPr>
          <w:ilvl w:val="1"/>
          <w:numId w:val="4"/>
        </w:numPr>
        <w:spacing w:beforeAutospacing="1" w:afterAutospacing="1"/>
      </w:pPr>
      <w:r>
        <w:t>协助信息科进行用户权限管理、简单报表配置、基础数据维护等工作。</w:t>
      </w:r>
    </w:p>
    <w:p>
      <w:pPr>
        <w:numPr>
          <w:ilvl w:val="1"/>
          <w:numId w:val="4"/>
        </w:numPr>
        <w:spacing w:beforeAutospacing="1" w:afterAutospacing="1"/>
      </w:pPr>
      <w:r>
        <w:t>每</w:t>
      </w:r>
      <w:r>
        <w:rPr>
          <w:rFonts w:hint="eastAsia"/>
        </w:rPr>
        <w:t>季度</w:t>
      </w:r>
      <w:r>
        <w:t>进行系统巡检，并提交巡检报告。</w:t>
      </w:r>
    </w:p>
    <w:p>
      <w:r>
        <w:rPr>
          <w:b/>
        </w:rPr>
        <w:t>4. 系统维护与数据服务</w:t>
      </w:r>
    </w:p>
    <w:p>
      <w:pPr>
        <w:numPr>
          <w:ilvl w:val="0"/>
          <w:numId w:val="5"/>
        </w:numPr>
        <w:spacing w:beforeAutospacing="1" w:afterAutospacing="1"/>
      </w:pPr>
      <w:r>
        <w:rPr>
          <w:b/>
        </w:rPr>
        <w:t>数据核对与修正</w:t>
      </w:r>
      <w:r>
        <w:t>：</w:t>
      </w:r>
    </w:p>
    <w:p>
      <w:pPr>
        <w:numPr>
          <w:ilvl w:val="1"/>
          <w:numId w:val="5"/>
        </w:numPr>
        <w:spacing w:beforeAutospacing="1" w:afterAutospacing="1"/>
      </w:pPr>
      <w:r>
        <w:t>定期（如每月）核对关键统计报表（如收入报表、药品进销存报表）的数据准确性。</w:t>
      </w:r>
    </w:p>
    <w:p>
      <w:pPr>
        <w:numPr>
          <w:ilvl w:val="1"/>
          <w:numId w:val="5"/>
        </w:numPr>
        <w:spacing w:beforeAutospacing="1" w:afterAutospacing="1"/>
      </w:pPr>
      <w:r>
        <w:t>对于核对中发现的数据差异，需分析根本原因，提出解决方案，并在院方确认后执行修正。</w:t>
      </w:r>
    </w:p>
    <w:p>
      <w:pPr>
        <w:numPr>
          <w:ilvl w:val="0"/>
          <w:numId w:val="5"/>
        </w:numPr>
        <w:spacing w:beforeAutospacing="1" w:afterAutospacing="1"/>
      </w:pPr>
      <w:r>
        <w:rPr>
          <w:b/>
        </w:rPr>
        <w:t>数据备份支持</w:t>
      </w:r>
      <w:r>
        <w:t>：协助院方定期检查数据库备份任务的执行情况，确保备份的有效性；在发生数据丢失时，</w:t>
      </w:r>
      <w:r>
        <w:rPr>
          <w:rFonts w:hint="eastAsia"/>
        </w:rPr>
        <w:t>提供数据恢复所需要系统的支持工作</w:t>
      </w:r>
      <w:r>
        <w:t>。</w:t>
      </w:r>
    </w:p>
    <w:p>
      <w:r>
        <w:rPr>
          <w:b/>
        </w:rPr>
        <w:t>5. 适应性调整支持</w:t>
      </w:r>
    </w:p>
    <w:p>
      <w:pPr>
        <w:numPr>
          <w:ilvl w:val="0"/>
          <w:numId w:val="6"/>
        </w:numPr>
        <w:spacing w:beforeAutospacing="1" w:afterAutospacing="1"/>
      </w:pPr>
      <w:r>
        <w:rPr>
          <w:b/>
        </w:rPr>
        <w:t>医保政策变更</w:t>
      </w:r>
      <w:r>
        <w:t>：针对国家或地方医保政策的调整，乙方需提供及时、免费的技术支持，包括：接口调整、程序修改、测试与上线支持，确保系统在政策生效前完成适应性改造。</w:t>
      </w:r>
    </w:p>
    <w:p>
      <w:pPr>
        <w:numPr>
          <w:ilvl w:val="0"/>
          <w:numId w:val="6"/>
        </w:numPr>
        <w:spacing w:beforeAutospacing="1" w:afterAutospacing="1"/>
        <w:rPr>
          <w:color w:val="FF0000"/>
        </w:rPr>
      </w:pPr>
      <w:r>
        <w:rPr>
          <w:b/>
        </w:rPr>
        <w:t>其他政策与流程变更</w:t>
      </w:r>
      <w:r>
        <w:t>：响应医院因内部管理、财务制度或其他政策变化提出的合理系统优化与改造需求，提供评估与实现方案。</w:t>
      </w:r>
      <w:r>
        <w:rPr>
          <w:rFonts w:hint="eastAsia"/>
          <w:color w:val="FF0000"/>
        </w:rPr>
        <w:t>以经过信息管理科签字确认的需求修改为准，维护期内完成不少于1</w:t>
      </w:r>
      <w:r>
        <w:rPr>
          <w:color w:val="FF0000"/>
        </w:rPr>
        <w:t>50</w:t>
      </w:r>
      <w:r>
        <w:rPr>
          <w:rFonts w:hint="eastAsia"/>
          <w:color w:val="FF0000"/>
        </w:rPr>
        <w:t>个。</w:t>
      </w:r>
    </w:p>
    <w:p>
      <w:r>
        <w:rPr>
          <w:b/>
        </w:rPr>
        <w:t>四、 服务级别协议（SLA）</w:t>
      </w:r>
    </w:p>
    <w:tbl>
      <w:tblPr>
        <w:tblStyle w:val="6"/>
        <w:tblW w:w="0" w:type="auto"/>
        <w:tblInd w:w="0" w:type="dxa"/>
        <w:tblLayout w:type="fixed"/>
        <w:tblCellMar>
          <w:top w:w="0" w:type="dxa"/>
          <w:left w:w="0" w:type="dxa"/>
          <w:bottom w:w="0" w:type="dxa"/>
          <w:right w:w="0" w:type="dxa"/>
        </w:tblCellMar>
      </w:tblPr>
      <w:tblGrid>
        <w:gridCol w:w="1661"/>
        <w:gridCol w:w="1661"/>
        <w:gridCol w:w="1661"/>
        <w:gridCol w:w="1661"/>
        <w:gridCol w:w="1661"/>
      </w:tblGrid>
      <w:tr>
        <w:tblPrEx>
          <w:tblCellMar>
            <w:top w:w="0" w:type="dxa"/>
            <w:left w:w="0" w:type="dxa"/>
            <w:bottom w:w="0" w:type="dxa"/>
            <w:right w:w="0" w:type="dxa"/>
          </w:tblCellMar>
        </w:tblPrEx>
        <w:tc>
          <w:tcPr>
            <w:tcW w:w="1661" w:type="dxa"/>
            <w:tcMar>
              <w:left w:w="108" w:type="dxa"/>
              <w:right w:w="108" w:type="dxa"/>
            </w:tcMar>
            <w:vAlign w:val="center"/>
          </w:tcPr>
          <w:p>
            <w:pPr>
              <w:jc w:val="center"/>
              <w:rPr>
                <w:b/>
              </w:rPr>
            </w:pPr>
            <w:r>
              <w:rPr>
                <w:b/>
              </w:rPr>
              <w:t>服务请求级别</w:t>
            </w:r>
          </w:p>
        </w:tc>
        <w:tc>
          <w:tcPr>
            <w:tcW w:w="1661" w:type="dxa"/>
            <w:tcMar>
              <w:left w:w="108" w:type="dxa"/>
              <w:right w:w="108" w:type="dxa"/>
            </w:tcMar>
            <w:vAlign w:val="center"/>
          </w:tcPr>
          <w:p>
            <w:pPr>
              <w:jc w:val="center"/>
              <w:rPr>
                <w:b/>
              </w:rPr>
            </w:pPr>
            <w:r>
              <w:rPr>
                <w:b/>
              </w:rPr>
              <w:t>定义描述</w:t>
            </w:r>
          </w:p>
        </w:tc>
        <w:tc>
          <w:tcPr>
            <w:tcW w:w="1661" w:type="dxa"/>
            <w:tcMar>
              <w:left w:w="108" w:type="dxa"/>
              <w:right w:w="108" w:type="dxa"/>
            </w:tcMar>
            <w:vAlign w:val="center"/>
          </w:tcPr>
          <w:p>
            <w:pPr>
              <w:jc w:val="center"/>
              <w:rPr>
                <w:b/>
              </w:rPr>
            </w:pPr>
            <w:r>
              <w:rPr>
                <w:b/>
              </w:rPr>
              <w:t>响应时间</w:t>
            </w:r>
          </w:p>
        </w:tc>
        <w:tc>
          <w:tcPr>
            <w:tcW w:w="1661" w:type="dxa"/>
            <w:tcMar>
              <w:left w:w="108" w:type="dxa"/>
              <w:right w:w="108" w:type="dxa"/>
            </w:tcMar>
            <w:vAlign w:val="center"/>
          </w:tcPr>
          <w:p>
            <w:pPr>
              <w:jc w:val="center"/>
              <w:rPr>
                <w:b/>
              </w:rPr>
            </w:pPr>
            <w:r>
              <w:rPr>
                <w:b/>
              </w:rPr>
              <w:t>解决时间目标</w:t>
            </w:r>
          </w:p>
        </w:tc>
        <w:tc>
          <w:tcPr>
            <w:tcW w:w="1661" w:type="dxa"/>
            <w:tcMar>
              <w:left w:w="108" w:type="dxa"/>
              <w:right w:w="108" w:type="dxa"/>
            </w:tcMar>
            <w:vAlign w:val="center"/>
          </w:tcPr>
          <w:p>
            <w:pPr>
              <w:jc w:val="center"/>
              <w:rPr>
                <w:b/>
              </w:rPr>
            </w:pPr>
            <w:r>
              <w:rPr>
                <w:b/>
              </w:rPr>
              <w:t>升级机制</w:t>
            </w:r>
          </w:p>
        </w:tc>
      </w:tr>
      <w:tr>
        <w:tblPrEx>
          <w:tblCellMar>
            <w:top w:w="0" w:type="dxa"/>
            <w:left w:w="0" w:type="dxa"/>
            <w:bottom w:w="0" w:type="dxa"/>
            <w:right w:w="0" w:type="dxa"/>
          </w:tblCellMar>
        </w:tblPrEx>
        <w:tc>
          <w:tcPr>
            <w:tcW w:w="1661" w:type="dxa"/>
            <w:tcMar>
              <w:left w:w="108" w:type="dxa"/>
              <w:right w:w="108" w:type="dxa"/>
            </w:tcMar>
            <w:vAlign w:val="center"/>
          </w:tcPr>
          <w:p>
            <w:r>
              <w:rPr>
                <w:b/>
              </w:rPr>
              <w:t>P1-紧急</w:t>
            </w:r>
          </w:p>
        </w:tc>
        <w:tc>
          <w:tcPr>
            <w:tcW w:w="1661" w:type="dxa"/>
            <w:tcMar>
              <w:left w:w="108" w:type="dxa"/>
              <w:right w:w="108" w:type="dxa"/>
            </w:tcMar>
            <w:vAlign w:val="center"/>
          </w:tcPr>
          <w:p>
            <w:r>
              <w:t>系统完全无法使用或核心业务大面积中断</w:t>
            </w:r>
          </w:p>
        </w:tc>
        <w:tc>
          <w:tcPr>
            <w:tcW w:w="1661" w:type="dxa"/>
            <w:tcMar>
              <w:left w:w="108" w:type="dxa"/>
              <w:right w:w="108" w:type="dxa"/>
            </w:tcMar>
            <w:vAlign w:val="center"/>
          </w:tcPr>
          <w:p>
            <w:r>
              <w:t>≤15分钟</w:t>
            </w:r>
          </w:p>
        </w:tc>
        <w:tc>
          <w:tcPr>
            <w:tcW w:w="1661" w:type="dxa"/>
            <w:tcMar>
              <w:left w:w="108" w:type="dxa"/>
              <w:right w:w="108" w:type="dxa"/>
            </w:tcMar>
            <w:vAlign w:val="center"/>
          </w:tcPr>
          <w:p>
            <w:r>
              <w:t>4小时内提出应急方案，8小时内解决</w:t>
            </w:r>
          </w:p>
        </w:tc>
        <w:tc>
          <w:tcPr>
            <w:tcW w:w="1661" w:type="dxa"/>
            <w:tcMar>
              <w:left w:w="108" w:type="dxa"/>
              <w:right w:w="108" w:type="dxa"/>
            </w:tcMar>
            <w:vAlign w:val="center"/>
          </w:tcPr>
          <w:p>
            <w:r>
              <w:t>立即上报双方项目经理及院方信息科负责人</w:t>
            </w:r>
          </w:p>
        </w:tc>
      </w:tr>
      <w:tr>
        <w:tblPrEx>
          <w:tblCellMar>
            <w:top w:w="0" w:type="dxa"/>
            <w:left w:w="0" w:type="dxa"/>
            <w:bottom w:w="0" w:type="dxa"/>
            <w:right w:w="0" w:type="dxa"/>
          </w:tblCellMar>
        </w:tblPrEx>
        <w:tc>
          <w:tcPr>
            <w:tcW w:w="1661" w:type="dxa"/>
            <w:tcMar>
              <w:left w:w="108" w:type="dxa"/>
              <w:right w:w="108" w:type="dxa"/>
            </w:tcMar>
            <w:vAlign w:val="center"/>
          </w:tcPr>
          <w:p>
            <w:r>
              <w:rPr>
                <w:b/>
              </w:rPr>
              <w:t>P2-高</w:t>
            </w:r>
          </w:p>
        </w:tc>
        <w:tc>
          <w:tcPr>
            <w:tcW w:w="1661" w:type="dxa"/>
            <w:tcMar>
              <w:left w:w="108" w:type="dxa"/>
              <w:right w:w="108" w:type="dxa"/>
            </w:tcMar>
            <w:vAlign w:val="center"/>
          </w:tcPr>
          <w:p>
            <w:r>
              <w:t>系统主要功能受限，严重影响部分业务</w:t>
            </w:r>
          </w:p>
        </w:tc>
        <w:tc>
          <w:tcPr>
            <w:tcW w:w="1661" w:type="dxa"/>
            <w:tcMar>
              <w:left w:w="108" w:type="dxa"/>
              <w:right w:w="108" w:type="dxa"/>
            </w:tcMar>
            <w:vAlign w:val="center"/>
          </w:tcPr>
          <w:p>
            <w:r>
              <w:t>≤30分钟</w:t>
            </w:r>
          </w:p>
        </w:tc>
        <w:tc>
          <w:tcPr>
            <w:tcW w:w="1661" w:type="dxa"/>
            <w:tcMar>
              <w:left w:w="108" w:type="dxa"/>
              <w:right w:w="108" w:type="dxa"/>
            </w:tcMar>
            <w:vAlign w:val="center"/>
          </w:tcPr>
          <w:p>
            <w:r>
              <w:t>24小时内解决</w:t>
            </w:r>
          </w:p>
        </w:tc>
        <w:tc>
          <w:tcPr>
            <w:tcW w:w="1661" w:type="dxa"/>
            <w:tcMar>
              <w:left w:w="108" w:type="dxa"/>
              <w:right w:w="108" w:type="dxa"/>
            </w:tcMar>
            <w:vAlign w:val="center"/>
          </w:tcPr>
          <w:p>
            <w:r>
              <w:t>上报双方技术负责人</w:t>
            </w:r>
          </w:p>
        </w:tc>
      </w:tr>
      <w:tr>
        <w:tblPrEx>
          <w:tblCellMar>
            <w:top w:w="0" w:type="dxa"/>
            <w:left w:w="0" w:type="dxa"/>
            <w:bottom w:w="0" w:type="dxa"/>
            <w:right w:w="0" w:type="dxa"/>
          </w:tblCellMar>
        </w:tblPrEx>
        <w:tc>
          <w:tcPr>
            <w:tcW w:w="1661" w:type="dxa"/>
            <w:tcMar>
              <w:left w:w="108" w:type="dxa"/>
              <w:right w:w="108" w:type="dxa"/>
            </w:tcMar>
            <w:vAlign w:val="center"/>
          </w:tcPr>
          <w:p>
            <w:r>
              <w:rPr>
                <w:b/>
              </w:rPr>
              <w:t>P3-中</w:t>
            </w:r>
          </w:p>
        </w:tc>
        <w:tc>
          <w:tcPr>
            <w:tcW w:w="1661" w:type="dxa"/>
            <w:tcMar>
              <w:left w:w="108" w:type="dxa"/>
              <w:right w:w="108" w:type="dxa"/>
            </w:tcMar>
            <w:vAlign w:val="center"/>
          </w:tcPr>
          <w:p>
            <w:r>
              <w:t>系统功能性问题，但不影响核心业务运行</w:t>
            </w:r>
          </w:p>
        </w:tc>
        <w:tc>
          <w:tcPr>
            <w:tcW w:w="1661" w:type="dxa"/>
            <w:tcMar>
              <w:left w:w="108" w:type="dxa"/>
              <w:right w:w="108" w:type="dxa"/>
            </w:tcMar>
            <w:vAlign w:val="center"/>
          </w:tcPr>
          <w:p>
            <w:r>
              <w:t>≤2小时</w:t>
            </w:r>
          </w:p>
        </w:tc>
        <w:tc>
          <w:tcPr>
            <w:tcW w:w="1661" w:type="dxa"/>
            <w:tcMar>
              <w:left w:w="108" w:type="dxa"/>
              <w:right w:w="108" w:type="dxa"/>
            </w:tcMar>
            <w:vAlign w:val="center"/>
          </w:tcPr>
          <w:p>
            <w:r>
              <w:t>3个工作日</w:t>
            </w:r>
            <w:r>
              <w:rPr>
                <w:rFonts w:hint="eastAsia"/>
              </w:rPr>
              <w:t>内</w:t>
            </w:r>
            <w:r>
              <w:t>解决</w:t>
            </w:r>
          </w:p>
        </w:tc>
        <w:tc>
          <w:tcPr>
            <w:tcW w:w="1661" w:type="dxa"/>
            <w:tcMar>
              <w:left w:w="108" w:type="dxa"/>
              <w:right w:w="108" w:type="dxa"/>
            </w:tcMar>
            <w:vAlign w:val="center"/>
          </w:tcPr>
          <w:p>
            <w:r>
              <w:t>由驻场工程师跟进</w:t>
            </w:r>
          </w:p>
        </w:tc>
      </w:tr>
      <w:tr>
        <w:tblPrEx>
          <w:tblCellMar>
            <w:top w:w="0" w:type="dxa"/>
            <w:left w:w="0" w:type="dxa"/>
            <w:bottom w:w="0" w:type="dxa"/>
            <w:right w:w="0" w:type="dxa"/>
          </w:tblCellMar>
        </w:tblPrEx>
        <w:tc>
          <w:tcPr>
            <w:tcW w:w="1661" w:type="dxa"/>
            <w:tcMar>
              <w:left w:w="108" w:type="dxa"/>
              <w:right w:w="108" w:type="dxa"/>
            </w:tcMar>
            <w:vAlign w:val="center"/>
          </w:tcPr>
          <w:p>
            <w:r>
              <w:rPr>
                <w:b/>
              </w:rPr>
              <w:t>P4-低</w:t>
            </w:r>
          </w:p>
        </w:tc>
        <w:tc>
          <w:tcPr>
            <w:tcW w:w="1661" w:type="dxa"/>
            <w:tcMar>
              <w:left w:w="108" w:type="dxa"/>
              <w:right w:w="108" w:type="dxa"/>
            </w:tcMar>
            <w:vAlign w:val="center"/>
          </w:tcPr>
          <w:p>
            <w:r>
              <w:t>咨询类、优化类问题</w:t>
            </w:r>
          </w:p>
        </w:tc>
        <w:tc>
          <w:tcPr>
            <w:tcW w:w="1661" w:type="dxa"/>
            <w:tcMar>
              <w:left w:w="108" w:type="dxa"/>
              <w:right w:w="108" w:type="dxa"/>
            </w:tcMar>
            <w:vAlign w:val="center"/>
          </w:tcPr>
          <w:p>
            <w:r>
              <w:t>≤4小时</w:t>
            </w:r>
          </w:p>
        </w:tc>
        <w:tc>
          <w:tcPr>
            <w:tcW w:w="1661" w:type="dxa"/>
            <w:tcMar>
              <w:left w:w="108" w:type="dxa"/>
              <w:right w:w="108" w:type="dxa"/>
            </w:tcMar>
            <w:vAlign w:val="center"/>
          </w:tcPr>
          <w:p>
            <w:r>
              <w:t>5个工作日</w:t>
            </w:r>
            <w:r>
              <w:rPr>
                <w:rFonts w:hint="eastAsia"/>
              </w:rPr>
              <w:t>内</w:t>
            </w:r>
            <w:r>
              <w:t>回复</w:t>
            </w:r>
          </w:p>
        </w:tc>
        <w:tc>
          <w:tcPr>
            <w:tcW w:w="1661" w:type="dxa"/>
            <w:tcMar>
              <w:left w:w="108" w:type="dxa"/>
              <w:right w:w="108" w:type="dxa"/>
            </w:tcMar>
            <w:vAlign w:val="center"/>
          </w:tcPr>
          <w:p>
            <w:r>
              <w:t>常规处理</w:t>
            </w:r>
          </w:p>
        </w:tc>
      </w:tr>
    </w:tbl>
    <w:p>
      <w:r>
        <w:rPr>
          <w:rStyle w:val="8"/>
        </w:rPr>
        <w:t>注：响应时间指从院方提出服务请求到乙方工程师开始介入处理的时间。解决时间指从提出请求到问题被解决或找到有效规避方案的时间。</w:t>
      </w:r>
    </w:p>
    <w:p>
      <w:r>
        <w:rPr>
          <w:rFonts w:hint="eastAsia"/>
          <w:b/>
        </w:rPr>
        <w:t>五</w:t>
      </w:r>
      <w:r>
        <w:rPr>
          <w:b/>
        </w:rPr>
        <w:t>、 服务交付物</w:t>
      </w:r>
    </w:p>
    <w:p>
      <w:pPr>
        <w:numPr>
          <w:ilvl w:val="0"/>
          <w:numId w:val="7"/>
        </w:numPr>
        <w:spacing w:beforeAutospacing="1" w:afterAutospacing="1"/>
      </w:pPr>
      <w:r>
        <w:rPr>
          <w:b/>
        </w:rPr>
        <w:t>季度报告</w:t>
      </w:r>
      <w:r>
        <w:t>：服务总结报告，包含事件统计、SLA达成率、问题趋势分析、工作内容总结及下阶段计划。</w:t>
      </w:r>
    </w:p>
    <w:p>
      <w:pPr>
        <w:numPr>
          <w:ilvl w:val="0"/>
          <w:numId w:val="7"/>
        </w:numPr>
        <w:spacing w:beforeAutospacing="1" w:afterAutospacing="1"/>
      </w:pPr>
      <w:r>
        <w:rPr>
          <w:b/>
        </w:rPr>
        <w:t>专项报告</w:t>
      </w:r>
      <w:r>
        <w:t>：重大故障的根因分析报告；数据核对与修正报告；系统漏洞评估与补丁更新报告。</w:t>
      </w:r>
    </w:p>
    <w:p>
      <w:pPr>
        <w:numPr>
          <w:ilvl w:val="0"/>
          <w:numId w:val="7"/>
        </w:numPr>
        <w:spacing w:beforeAutospacing="1" w:afterAutospacing="1"/>
        <w:rPr>
          <w:rFonts w:asciiTheme="majorEastAsia" w:hAnsiTheme="majorEastAsia" w:eastAsiaTheme="majorEastAsia"/>
          <w:sz w:val="28"/>
          <w:szCs w:val="28"/>
        </w:rPr>
      </w:pPr>
      <w:r>
        <w:rPr>
          <w:b/>
        </w:rPr>
        <w:t>年度总结报告</w:t>
      </w:r>
      <w:r>
        <w:t>：对整个服务年度的全面总结与评估。</w:t>
      </w:r>
    </w:p>
    <w:p>
      <w:pPr>
        <w:rPr>
          <w:rFonts w:hint="eastAsia"/>
          <w:b/>
          <w:lang w:val="en-US" w:eastAsia="zh-CN"/>
        </w:rPr>
      </w:pPr>
      <w:r>
        <w:rPr>
          <w:rFonts w:hint="eastAsia"/>
          <w:b/>
          <w:lang w:val="en-US" w:eastAsia="zh-CN"/>
        </w:rPr>
        <w:t>六、</w:t>
      </w:r>
      <w:bookmarkStart w:id="0" w:name="_GoBack"/>
      <w:bookmarkEnd w:id="0"/>
      <w:r>
        <w:rPr>
          <w:rFonts w:hint="eastAsia"/>
          <w:b/>
          <w:lang w:val="en-US" w:eastAsia="zh-CN"/>
        </w:rPr>
        <w:t>与自治区医保影像云平台接口对接</w:t>
      </w:r>
    </w:p>
    <w:p>
      <w:pPr>
        <w:numPr>
          <w:numId w:val="0"/>
        </w:numPr>
        <w:spacing w:beforeAutospacing="1" w:afterAutospacing="1"/>
        <w:ind w:left="360" w:leftChars="0"/>
        <w:rPr>
          <w:rFonts w:hint="eastAsia"/>
          <w:b/>
          <w:lang w:val="en-US" w:eastAsia="zh-CN"/>
        </w:rPr>
      </w:pPr>
      <w:r>
        <w:rPr>
          <w:rFonts w:hint="default"/>
          <w:b/>
          <w:lang w:val="en-US" w:eastAsia="zh-CN"/>
        </w:rPr>
        <w:t>1.</w:t>
      </w:r>
      <w:r>
        <w:rPr>
          <w:rFonts w:hint="eastAsia"/>
          <w:b/>
          <w:lang w:val="en-US" w:eastAsia="zh-CN"/>
        </w:rPr>
        <w:t>根据《自治区医保局关于加快推进全区云胶片集中带量采购项目建设实施工作的通知》文件要求，及贯彻落实国家医保局《关于进一步做好医保影像云试点工作的通知》等要求，建立检查价格互通共享机制，实现影像检查数据智能、高效、融合、经济的存储和传输，全面提供云胶片服务，实现检查结果跨机构调研，构建“全国一张网”的云胶片服务体系。</w:t>
      </w:r>
    </w:p>
    <w:p>
      <w:pPr>
        <w:numPr>
          <w:numId w:val="0"/>
        </w:numPr>
        <w:spacing w:beforeAutospacing="1" w:afterAutospacing="1"/>
        <w:ind w:left="360" w:leftChars="0"/>
        <w:rPr>
          <w:rFonts w:hint="eastAsia"/>
          <w:b/>
        </w:rPr>
      </w:pPr>
      <w:r>
        <w:rPr>
          <w:rFonts w:hint="default"/>
          <w:b/>
          <w:lang w:val="en-US"/>
        </w:rPr>
        <w:t>2</w:t>
      </w:r>
      <w:r>
        <w:rPr>
          <w:b/>
        </w:rPr>
        <w:t>.遵循</w:t>
      </w:r>
      <w:r>
        <w:rPr>
          <w:rFonts w:hint="eastAsia"/>
          <w:b/>
          <w:lang w:val="en-US" w:eastAsia="zh-CN"/>
        </w:rPr>
        <w:t>《自治区医保局关于加快推进全区云胶片集中带量采购项目建设实施工作的通知》文件，文件要求中《医保影像云检查调阅接口对接技术方式》、《医保影像云数据采集接口对接技术方案》</w:t>
      </w:r>
      <w:r>
        <w:rPr>
          <w:b/>
        </w:rPr>
        <w:t>若有最新版，以发布的最新技术规范为准</w:t>
      </w:r>
      <w:r>
        <w:rPr>
          <w:rFonts w:hint="eastAsia"/>
          <w:b/>
          <w:lang w:val="en-US" w:eastAsia="zh-CN"/>
        </w:rPr>
        <w:t>。</w:t>
      </w:r>
    </w:p>
    <w:p>
      <w:pPr>
        <w:numPr>
          <w:numId w:val="0"/>
        </w:numPr>
        <w:spacing w:beforeAutospacing="1" w:afterAutospacing="1"/>
        <w:rPr>
          <w:rFonts w:hint="default"/>
          <w:lang w:val="en-US" w:eastAsia="zh-CN"/>
        </w:rPr>
      </w:pPr>
    </w:p>
    <w:p>
      <w:pPr>
        <w:ind w:firstLine="3402" w:firstLineChars="1215"/>
        <w:jc w:val="center"/>
        <w:rPr>
          <w:rFonts w:asciiTheme="majorEastAsia" w:hAnsiTheme="majorEastAsia" w:eastAsiaTheme="majorEastAsia"/>
          <w:sz w:val="28"/>
          <w:szCs w:val="28"/>
        </w:rPr>
      </w:pPr>
      <w:r>
        <w:rPr>
          <w:rFonts w:hint="eastAsia" w:asciiTheme="majorEastAsia" w:hAnsiTheme="majorEastAsia" w:eastAsiaTheme="majorEastAsia"/>
          <w:sz w:val="28"/>
          <w:szCs w:val="28"/>
        </w:rPr>
        <w:t>信息科</w:t>
      </w:r>
    </w:p>
    <w:p>
      <w:pPr>
        <w:ind w:firstLine="3402" w:firstLineChars="1215"/>
        <w:jc w:val="center"/>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   2025年 11 月 20 日</w:t>
      </w:r>
    </w:p>
    <w:p>
      <w:pPr>
        <w:rPr>
          <w:rFonts w:asciiTheme="majorEastAsia" w:hAnsiTheme="majorEastAsia" w:eastAsiaTheme="majorEastAsia"/>
          <w:sz w:val="28"/>
          <w:szCs w:val="28"/>
        </w:rPr>
      </w:pPr>
      <w:r>
        <w:rPr>
          <w:rFonts w:hint="eastAsia" w:asciiTheme="majorEastAsia" w:hAnsiTheme="majorEastAsia" w:eastAsiaTheme="majorEastAsia"/>
          <w:sz w:val="28"/>
          <w:szCs w:val="28"/>
        </w:rPr>
        <w:br w:type="page"/>
      </w:r>
    </w:p>
    <w:p>
      <w:pPr>
        <w:jc w:val="left"/>
        <w:rPr>
          <w:rFonts w:asciiTheme="majorEastAsia" w:hAnsiTheme="majorEastAsia" w:eastAsiaTheme="majorEastAsia"/>
          <w:sz w:val="28"/>
          <w:szCs w:val="28"/>
        </w:rPr>
      </w:pPr>
      <w:r>
        <w:rPr>
          <w:rFonts w:hint="eastAsia" w:asciiTheme="majorEastAsia" w:hAnsiTheme="majorEastAsia" w:eastAsiaTheme="majorEastAsia"/>
          <w:sz w:val="28"/>
          <w:szCs w:val="28"/>
        </w:rPr>
        <w:t>附件：系统清单</w:t>
      </w:r>
    </w:p>
    <w:tbl>
      <w:tblPr>
        <w:tblStyle w:val="6"/>
        <w:tblW w:w="8377" w:type="dxa"/>
        <w:tblInd w:w="100" w:type="dxa"/>
        <w:tblLayout w:type="autofit"/>
        <w:tblCellMar>
          <w:top w:w="0" w:type="dxa"/>
          <w:left w:w="108" w:type="dxa"/>
          <w:bottom w:w="0" w:type="dxa"/>
          <w:right w:w="108" w:type="dxa"/>
        </w:tblCellMar>
      </w:tblPr>
      <w:tblGrid>
        <w:gridCol w:w="2832"/>
        <w:gridCol w:w="2598"/>
        <w:gridCol w:w="2947"/>
      </w:tblGrid>
      <w:tr>
        <w:tblPrEx>
          <w:tblCellMar>
            <w:top w:w="0" w:type="dxa"/>
            <w:left w:w="108" w:type="dxa"/>
            <w:bottom w:w="0" w:type="dxa"/>
            <w:right w:w="108" w:type="dxa"/>
          </w:tblCellMar>
        </w:tblPrEx>
        <w:trPr>
          <w:trHeight w:val="8180" w:hRule="atLeast"/>
        </w:trPr>
        <w:tc>
          <w:tcPr>
            <w:tcW w:w="2832" w:type="dxa"/>
            <w:tcBorders>
              <w:top w:val="single" w:color="000000" w:sz="4" w:space="0"/>
              <w:left w:val="single" w:color="000000" w:sz="4" w:space="0"/>
              <w:bottom w:val="single" w:color="000000" w:sz="4" w:space="0"/>
              <w:right w:val="single" w:color="000000" w:sz="4" w:space="0"/>
            </w:tcBorders>
            <w:shd w:val="clear" w:color="auto" w:fill="FFFFFF"/>
          </w:tcPr>
          <w:p>
            <w:pPr>
              <w:spacing w:beforeAutospacing="1" w:afterAutospacing="1"/>
              <w:ind w:left="360"/>
            </w:pPr>
            <w:r>
              <w:rPr>
                <w:rFonts w:hint="eastAsia"/>
              </w:rPr>
              <w:t>1 门户管理系统</w:t>
            </w:r>
            <w:r>
              <w:rPr>
                <w:rFonts w:hint="eastAsia"/>
              </w:rPr>
              <w:br w:type="textWrapping"/>
            </w:r>
            <w:r>
              <w:rPr>
                <w:rFonts w:hint="eastAsia"/>
              </w:rPr>
              <w:t>2 管理员维护系统</w:t>
            </w:r>
            <w:r>
              <w:rPr>
                <w:rFonts w:hint="eastAsia"/>
              </w:rPr>
              <w:br w:type="textWrapping"/>
            </w:r>
            <w:r>
              <w:rPr>
                <w:rFonts w:hint="eastAsia"/>
              </w:rPr>
              <w:t>3 一卡通管理系统</w:t>
            </w:r>
            <w:r>
              <w:rPr>
                <w:rFonts w:hint="eastAsia"/>
              </w:rPr>
              <w:br w:type="textWrapping"/>
            </w:r>
            <w:r>
              <w:rPr>
                <w:rFonts w:hint="eastAsia"/>
              </w:rPr>
              <w:t>4 出入院收费结算信息管理系统</w:t>
            </w:r>
            <w:r>
              <w:rPr>
                <w:rFonts w:hint="eastAsia"/>
              </w:rPr>
              <w:br w:type="textWrapping"/>
            </w:r>
            <w:r>
              <w:rPr>
                <w:rFonts w:hint="eastAsia"/>
              </w:rPr>
              <w:t>5 中西药库管理系统</w:t>
            </w:r>
            <w:r>
              <w:rPr>
                <w:rFonts w:hint="eastAsia"/>
              </w:rPr>
              <w:br w:type="textWrapping"/>
            </w:r>
            <w:r>
              <w:rPr>
                <w:rFonts w:hint="eastAsia"/>
              </w:rPr>
              <w:t>6 门急诊药房管理系统</w:t>
            </w:r>
            <w:r>
              <w:rPr>
                <w:rFonts w:hint="eastAsia"/>
              </w:rPr>
              <w:br w:type="textWrapping"/>
            </w:r>
            <w:r>
              <w:rPr>
                <w:rFonts w:hint="eastAsia"/>
              </w:rPr>
              <w:t>7 病区药房管理系统</w:t>
            </w:r>
            <w:r>
              <w:rPr>
                <w:rFonts w:hint="eastAsia"/>
              </w:rPr>
              <w:br w:type="textWrapping"/>
            </w:r>
            <w:r>
              <w:rPr>
                <w:rFonts w:hint="eastAsia"/>
              </w:rPr>
              <w:t>8 门急诊输液管理系统</w:t>
            </w:r>
            <w:r>
              <w:rPr>
                <w:rFonts w:hint="eastAsia"/>
              </w:rPr>
              <w:br w:type="textWrapping"/>
            </w:r>
            <w:r>
              <w:rPr>
                <w:rFonts w:hint="eastAsia"/>
              </w:rPr>
              <w:t>9 病区护士工作站系统</w:t>
            </w:r>
            <w:r>
              <w:rPr>
                <w:rFonts w:hint="eastAsia"/>
              </w:rPr>
              <w:br w:type="textWrapping"/>
            </w:r>
            <w:r>
              <w:rPr>
                <w:rFonts w:hint="eastAsia"/>
              </w:rPr>
              <w:t>10 住院医生工作站</w:t>
            </w:r>
            <w:r>
              <w:rPr>
                <w:rFonts w:hint="eastAsia"/>
              </w:rPr>
              <w:br w:type="textWrapping"/>
            </w:r>
            <w:r>
              <w:rPr>
                <w:rFonts w:hint="eastAsia"/>
              </w:rPr>
              <w:t>11 住院电子病历系统</w:t>
            </w:r>
            <w:r>
              <w:rPr>
                <w:rFonts w:hint="eastAsia"/>
              </w:rPr>
              <w:br w:type="textWrapping"/>
            </w:r>
            <w:r>
              <w:rPr>
                <w:rFonts w:hint="eastAsia"/>
              </w:rPr>
              <w:t>12 临床路径管理系统</w:t>
            </w:r>
            <w:r>
              <w:rPr>
                <w:rFonts w:hint="eastAsia"/>
              </w:rPr>
              <w:br w:type="textWrapping"/>
            </w:r>
            <w:r>
              <w:rPr>
                <w:rFonts w:hint="eastAsia"/>
              </w:rPr>
              <w:t>13 护理电子病历</w:t>
            </w:r>
            <w:r>
              <w:rPr>
                <w:rFonts w:hint="eastAsia"/>
              </w:rPr>
              <w:br w:type="textWrapping"/>
            </w:r>
            <w:r>
              <w:rPr>
                <w:rFonts w:hint="eastAsia"/>
              </w:rPr>
              <w:t>14 门诊医生工作站</w:t>
            </w:r>
            <w:r>
              <w:rPr>
                <w:rFonts w:hint="eastAsia"/>
              </w:rPr>
              <w:br w:type="textWrapping"/>
            </w:r>
            <w:r>
              <w:rPr>
                <w:rFonts w:hint="eastAsia"/>
              </w:rPr>
              <w:t>15 门诊电子病历</w:t>
            </w:r>
            <w:r>
              <w:rPr>
                <w:rFonts w:hint="eastAsia"/>
              </w:rPr>
              <w:br w:type="textWrapping"/>
            </w:r>
            <w:r>
              <w:rPr>
                <w:rFonts w:hint="eastAsia"/>
              </w:rPr>
              <w:t>16 门急诊应急管理系统</w:t>
            </w:r>
            <w:r>
              <w:rPr>
                <w:rFonts w:hint="eastAsia"/>
              </w:rPr>
              <w:br w:type="textWrapping"/>
            </w:r>
            <w:r>
              <w:rPr>
                <w:rFonts w:hint="eastAsia"/>
              </w:rPr>
              <w:t>17 病案管理系统</w:t>
            </w:r>
            <w:r>
              <w:rPr>
                <w:rFonts w:hint="eastAsia"/>
              </w:rPr>
              <w:br w:type="textWrapping"/>
            </w:r>
            <w:r>
              <w:rPr>
                <w:rFonts w:hint="eastAsia"/>
              </w:rPr>
              <w:t>18 病历质控系统</w:t>
            </w:r>
            <w:r>
              <w:rPr>
                <w:rFonts w:hint="eastAsia"/>
              </w:rPr>
              <w:br w:type="textWrapping"/>
            </w:r>
            <w:r>
              <w:rPr>
                <w:rFonts w:hint="eastAsia"/>
              </w:rPr>
              <w:t>19 处方点评系统</w:t>
            </w:r>
            <w:r>
              <w:rPr>
                <w:rFonts w:hint="eastAsia"/>
              </w:rPr>
              <w:br w:type="textWrapping"/>
            </w:r>
            <w:r>
              <w:rPr>
                <w:rFonts w:hint="eastAsia"/>
              </w:rPr>
              <w:t>20 医院感染管理系统</w:t>
            </w:r>
            <w:r>
              <w:rPr>
                <w:rFonts w:hint="eastAsia"/>
              </w:rPr>
              <w:br w:type="textWrapping"/>
            </w:r>
            <w:r>
              <w:rPr>
                <w:rFonts w:hint="eastAsia"/>
              </w:rPr>
              <w:t>21 抗菌药物管理系统</w:t>
            </w:r>
            <w:r>
              <w:rPr>
                <w:rFonts w:hint="eastAsia"/>
              </w:rPr>
              <w:br w:type="textWrapping"/>
            </w:r>
            <w:r>
              <w:rPr>
                <w:rFonts w:hint="eastAsia"/>
              </w:rPr>
              <w:t>22 健康体检管理系统</w:t>
            </w:r>
            <w:r>
              <w:rPr>
                <w:rFonts w:hint="eastAsia"/>
              </w:rPr>
              <w:br w:type="textWrapping"/>
            </w:r>
            <w:r>
              <w:rPr>
                <w:rFonts w:hint="eastAsia"/>
              </w:rPr>
              <w:t>23 物资库房管理系统</w:t>
            </w:r>
          </w:p>
        </w:tc>
        <w:tc>
          <w:tcPr>
            <w:tcW w:w="2598" w:type="dxa"/>
            <w:tcBorders>
              <w:top w:val="single" w:color="000000" w:sz="4" w:space="0"/>
              <w:left w:val="single" w:color="000000" w:sz="4" w:space="0"/>
              <w:bottom w:val="single" w:color="000000" w:sz="4" w:space="0"/>
              <w:right w:val="single" w:color="000000" w:sz="4" w:space="0"/>
            </w:tcBorders>
            <w:shd w:val="clear" w:color="auto" w:fill="FFFFFF"/>
          </w:tcPr>
          <w:p>
            <w:pPr>
              <w:spacing w:beforeAutospacing="1" w:afterAutospacing="1"/>
              <w:ind w:left="360"/>
            </w:pPr>
            <w:r>
              <w:rPr>
                <w:rFonts w:hint="eastAsia"/>
              </w:rPr>
              <w:t>24 供应室管理系统</w:t>
            </w:r>
            <w:r>
              <w:rPr>
                <w:rFonts w:hint="eastAsia"/>
              </w:rPr>
              <w:br w:type="textWrapping"/>
            </w:r>
            <w:r>
              <w:rPr>
                <w:rFonts w:hint="eastAsia"/>
              </w:rPr>
              <w:t>25 不良事件上报系统</w:t>
            </w:r>
            <w:r>
              <w:rPr>
                <w:rFonts w:hint="eastAsia"/>
              </w:rPr>
              <w:br w:type="textWrapping"/>
            </w:r>
            <w:r>
              <w:rPr>
                <w:rFonts w:hint="eastAsia"/>
              </w:rPr>
              <w:t>26 手术麻醉管理系统(计费)</w:t>
            </w:r>
            <w:r>
              <w:rPr>
                <w:rFonts w:hint="eastAsia"/>
              </w:rPr>
              <w:br w:type="textWrapping"/>
            </w:r>
            <w:r>
              <w:rPr>
                <w:rFonts w:hint="eastAsia"/>
              </w:rPr>
              <w:t>27 全院综合查询系统(院长查询)</w:t>
            </w:r>
            <w:r>
              <w:rPr>
                <w:rFonts w:hint="eastAsia"/>
              </w:rPr>
              <w:br w:type="textWrapping"/>
            </w:r>
            <w:r>
              <w:rPr>
                <w:rFonts w:hint="eastAsia"/>
              </w:rPr>
              <w:t>28 全院预约管理平台(含门诊排队叫号、分诊等全预约管理系统)</w:t>
            </w:r>
            <w:r>
              <w:rPr>
                <w:rFonts w:hint="eastAsia"/>
              </w:rPr>
              <w:br w:type="textWrapping"/>
            </w:r>
            <w:r>
              <w:rPr>
                <w:rFonts w:hint="eastAsia"/>
              </w:rPr>
              <w:t>29 多媒体触摸屏轴助系统(导医查询)</w:t>
            </w:r>
            <w:r>
              <w:rPr>
                <w:rFonts w:hint="eastAsia"/>
              </w:rPr>
              <w:br w:type="textWrapping"/>
            </w:r>
            <w:r>
              <w:rPr>
                <w:rFonts w:hint="eastAsia"/>
              </w:rPr>
              <w:t>30 检验管理系统（不含新增仪器）</w:t>
            </w:r>
            <w:r>
              <w:rPr>
                <w:rFonts w:hint="eastAsia"/>
              </w:rPr>
              <w:br w:type="textWrapping"/>
            </w:r>
            <w:r>
              <w:rPr>
                <w:rFonts w:hint="eastAsia"/>
              </w:rPr>
              <w:t>31 血库管理系统</w:t>
            </w:r>
            <w:r>
              <w:rPr>
                <w:rFonts w:hint="eastAsia"/>
              </w:rPr>
              <w:br w:type="textWrapping"/>
            </w:r>
            <w:r>
              <w:rPr>
                <w:rFonts w:hint="eastAsia"/>
              </w:rPr>
              <w:t>32 玉林金保接口</w:t>
            </w:r>
            <w:r>
              <w:rPr>
                <w:rFonts w:hint="eastAsia"/>
              </w:rPr>
              <w:br w:type="textWrapping"/>
            </w:r>
            <w:r>
              <w:rPr>
                <w:rFonts w:hint="eastAsia"/>
              </w:rPr>
              <w:t>33 检验自助报告管理系统</w:t>
            </w:r>
            <w:r>
              <w:rPr>
                <w:rFonts w:hint="eastAsia"/>
              </w:rPr>
              <w:br w:type="textWrapping"/>
            </w:r>
            <w:r>
              <w:rPr>
                <w:rFonts w:hint="eastAsia"/>
              </w:rPr>
              <w:t>34 新农合接口</w:t>
            </w:r>
            <w:r>
              <w:rPr>
                <w:rFonts w:hint="eastAsia"/>
              </w:rPr>
              <w:br w:type="textWrapping"/>
            </w:r>
            <w:r>
              <w:rPr>
                <w:rFonts w:hint="eastAsia"/>
              </w:rPr>
              <w:t>35 财务接口(大型票据和凭证)</w:t>
            </w:r>
            <w:r>
              <w:rPr>
                <w:rFonts w:hint="eastAsia"/>
              </w:rPr>
              <w:br w:type="textWrapping"/>
            </w:r>
            <w:r>
              <w:rPr>
                <w:rFonts w:hint="eastAsia"/>
              </w:rPr>
              <w:t>36 合理用药接口(医生、病房)</w:t>
            </w:r>
            <w:r>
              <w:rPr>
                <w:rFonts w:hint="eastAsia"/>
              </w:rPr>
              <w:br w:type="textWrapping"/>
            </w:r>
            <w:r>
              <w:rPr>
                <w:rFonts w:hint="eastAsia"/>
              </w:rPr>
              <w:t>37 一西卫生厅上报接口(门诊人次、出入院人次、病历)</w:t>
            </w:r>
          </w:p>
        </w:tc>
        <w:tc>
          <w:tcPr>
            <w:tcW w:w="2947" w:type="dxa"/>
            <w:tcBorders>
              <w:top w:val="single" w:color="000000" w:sz="4" w:space="0"/>
              <w:left w:val="single" w:color="000000" w:sz="4" w:space="0"/>
              <w:bottom w:val="single" w:color="000000" w:sz="4" w:space="0"/>
              <w:right w:val="single" w:color="000000" w:sz="4" w:space="0"/>
            </w:tcBorders>
            <w:shd w:val="clear" w:color="auto" w:fill="FFFFFF"/>
          </w:tcPr>
          <w:p>
            <w:pPr>
              <w:spacing w:beforeAutospacing="1" w:afterAutospacing="1"/>
              <w:ind w:left="360"/>
            </w:pPr>
            <w:r>
              <w:rPr>
                <w:rFonts w:hint="eastAsia"/>
              </w:rPr>
              <w:t>38 移动服务平台接口39 中药颗粒调剂接口</w:t>
            </w:r>
            <w:r>
              <w:rPr>
                <w:rFonts w:hint="eastAsia"/>
              </w:rPr>
              <w:br w:type="textWrapping"/>
            </w:r>
            <w:r>
              <w:rPr>
                <w:rFonts w:hint="eastAsia"/>
              </w:rPr>
              <w:t>40 自动包药机接口</w:t>
            </w:r>
            <w:r>
              <w:rPr>
                <w:rFonts w:hint="eastAsia"/>
              </w:rPr>
              <w:br w:type="textWrapping"/>
            </w:r>
            <w:r>
              <w:rPr>
                <w:rFonts w:hint="eastAsia"/>
              </w:rPr>
              <w:t>41 药库电子货架接口</w:t>
            </w:r>
            <w:r>
              <w:rPr>
                <w:rFonts w:hint="eastAsia"/>
              </w:rPr>
              <w:br w:type="textWrapping"/>
            </w:r>
            <w:r>
              <w:rPr>
                <w:rFonts w:hint="eastAsia"/>
              </w:rPr>
              <w:t>42 全院排班系统</w:t>
            </w:r>
            <w:r>
              <w:rPr>
                <w:rFonts w:hint="eastAsia"/>
              </w:rPr>
              <w:br w:type="textWrapping"/>
            </w:r>
            <w:r>
              <w:rPr>
                <w:rFonts w:hint="eastAsia"/>
              </w:rPr>
              <w:t>43 医保接口、院感接口、移动服务平台接口 (微信接口)、心电图接口、互联互通接口</w:t>
            </w:r>
            <w:r>
              <w:rPr>
                <w:rFonts w:hint="eastAsia"/>
              </w:rPr>
              <w:br w:type="textWrapping"/>
            </w:r>
            <w:r>
              <w:rPr>
                <w:rFonts w:hint="eastAsia"/>
              </w:rPr>
              <w:t xml:space="preserve">44 BS端电子病历归档系统 </w:t>
            </w:r>
            <w:r>
              <w:rPr>
                <w:rFonts w:hint="eastAsia"/>
              </w:rPr>
              <w:br w:type="textWrapping"/>
            </w:r>
            <w:r>
              <w:rPr>
                <w:rFonts w:hint="eastAsia"/>
              </w:rPr>
              <w:t xml:space="preserve">45 电子票据 </w:t>
            </w:r>
            <w:r>
              <w:rPr>
                <w:rFonts w:hint="eastAsia"/>
              </w:rPr>
              <w:br w:type="textWrapping"/>
            </w:r>
            <w:r>
              <w:rPr>
                <w:rFonts w:hint="eastAsia"/>
              </w:rPr>
              <w:t xml:space="preserve">46 血库接口 </w:t>
            </w:r>
            <w:r>
              <w:rPr>
                <w:rFonts w:hint="eastAsia"/>
              </w:rPr>
              <w:br w:type="textWrapping"/>
            </w:r>
            <w:r>
              <w:rPr>
                <w:rFonts w:hint="eastAsia"/>
              </w:rPr>
              <w:t xml:space="preserve">47 DRG接口 </w:t>
            </w:r>
            <w:r>
              <w:rPr>
                <w:rFonts w:hint="eastAsia"/>
              </w:rPr>
              <w:br w:type="textWrapping"/>
            </w:r>
            <w:r>
              <w:rPr>
                <w:rFonts w:hint="eastAsia"/>
              </w:rPr>
              <w:t>48 流感监测</w:t>
            </w:r>
            <w:r>
              <w:rPr>
                <w:rFonts w:hint="eastAsia"/>
              </w:rPr>
              <w:br w:type="textWrapping"/>
            </w:r>
            <w:r>
              <w:rPr>
                <w:rFonts w:hint="eastAsia"/>
              </w:rPr>
              <w:t>49 移动医保支付接口</w:t>
            </w:r>
            <w:r>
              <w:rPr>
                <w:rFonts w:hint="eastAsia"/>
              </w:rPr>
              <w:br w:type="textWrapping"/>
            </w:r>
            <w:r>
              <w:rPr>
                <w:rFonts w:hint="eastAsia"/>
              </w:rPr>
              <w:t>50 医保处方流转接口</w:t>
            </w:r>
          </w:p>
        </w:tc>
      </w:tr>
    </w:tbl>
    <w:p>
      <w:pPr>
        <w:jc w:val="left"/>
        <w:rPr>
          <w:rFonts w:asciiTheme="majorEastAsia" w:hAnsiTheme="majorEastAsia" w:eastAsiaTheme="maj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F9994"/>
    <w:multiLevelType w:val="singleLevel"/>
    <w:tmpl w:val="B0FF9994"/>
    <w:lvl w:ilvl="0" w:tentative="0">
      <w:start w:val="1"/>
      <w:numFmt w:val="bullet"/>
      <w:lvlText w:val=""/>
      <w:lvlJc w:val="left"/>
      <w:pPr>
        <w:ind w:left="720" w:hanging="360"/>
      </w:pPr>
      <w:rPr>
        <w:rFonts w:hint="default" w:ascii="Symbol" w:hAnsi="Symbol" w:cs="Symbol"/>
        <w:sz w:val="20"/>
      </w:rPr>
    </w:lvl>
  </w:abstractNum>
  <w:abstractNum w:abstractNumId="1">
    <w:nsid w:val="0D509626"/>
    <w:multiLevelType w:val="multilevel"/>
    <w:tmpl w:val="0D509626"/>
    <w:lvl w:ilvl="0" w:tentative="0">
      <w:start w:val="1"/>
      <w:numFmt w:val="bullet"/>
      <w:lvlText w:val=""/>
      <w:lvlJc w:val="left"/>
      <w:pPr>
        <w:ind w:left="720" w:hanging="360"/>
      </w:pPr>
      <w:rPr>
        <w:rFonts w:hint="default" w:ascii="Symbol" w:hAnsi="Symbol" w:cs="Symbol"/>
        <w:sz w:val="20"/>
      </w:rPr>
    </w:lvl>
    <w:lvl w:ilvl="1" w:tentative="0">
      <w:start w:val="1"/>
      <w:numFmt w:val="bullet"/>
      <w:lvlText w:val="o"/>
      <w:lvlJc w:val="left"/>
      <w:pPr>
        <w:ind w:left="1440" w:hanging="360"/>
      </w:pPr>
      <w:rPr>
        <w:rFonts w:hint="default" w:ascii="Courier New" w:hAnsi="Courier New" w:cs="Courier New"/>
        <w:sz w:val="20"/>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9A2FFBB"/>
    <w:multiLevelType w:val="multilevel"/>
    <w:tmpl w:val="19A2FFBB"/>
    <w:lvl w:ilvl="0" w:tentative="0">
      <w:start w:val="1"/>
      <w:numFmt w:val="bullet"/>
      <w:lvlText w:val=""/>
      <w:lvlJc w:val="left"/>
      <w:pPr>
        <w:ind w:left="720" w:hanging="360"/>
      </w:pPr>
      <w:rPr>
        <w:rFonts w:hint="default" w:ascii="Symbol" w:hAnsi="Symbol" w:cs="Symbol"/>
        <w:sz w:val="20"/>
      </w:rPr>
    </w:lvl>
    <w:lvl w:ilvl="1" w:tentative="0">
      <w:start w:val="1"/>
      <w:numFmt w:val="bullet"/>
      <w:lvlText w:val="o"/>
      <w:lvlJc w:val="left"/>
      <w:pPr>
        <w:ind w:left="1440" w:hanging="360"/>
      </w:pPr>
      <w:rPr>
        <w:rFonts w:hint="default" w:ascii="Courier New" w:hAnsi="Courier New" w:cs="Courier New"/>
        <w:sz w:val="20"/>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553BE702"/>
    <w:multiLevelType w:val="singleLevel"/>
    <w:tmpl w:val="553BE702"/>
    <w:lvl w:ilvl="0" w:tentative="0">
      <w:start w:val="1"/>
      <w:numFmt w:val="bullet"/>
      <w:lvlText w:val=""/>
      <w:lvlJc w:val="left"/>
      <w:pPr>
        <w:ind w:left="720" w:hanging="360"/>
      </w:pPr>
      <w:rPr>
        <w:rFonts w:hint="default" w:ascii="Symbol" w:hAnsi="Symbol" w:cs="Symbol"/>
        <w:sz w:val="20"/>
      </w:rPr>
    </w:lvl>
  </w:abstractNum>
  <w:abstractNum w:abstractNumId="4">
    <w:nsid w:val="63DD8905"/>
    <w:multiLevelType w:val="singleLevel"/>
    <w:tmpl w:val="63DD8905"/>
    <w:lvl w:ilvl="0" w:tentative="0">
      <w:start w:val="1"/>
      <w:numFmt w:val="decimal"/>
      <w:lvlText w:val="%1."/>
      <w:lvlJc w:val="left"/>
      <w:pPr>
        <w:ind w:left="720" w:hanging="360"/>
      </w:pPr>
      <w:rPr>
        <w:sz w:val="24"/>
      </w:rPr>
    </w:lvl>
  </w:abstractNum>
  <w:abstractNum w:abstractNumId="5">
    <w:nsid w:val="6689286D"/>
    <w:multiLevelType w:val="multilevel"/>
    <w:tmpl w:val="6689286D"/>
    <w:lvl w:ilvl="0" w:tentative="0">
      <w:start w:val="1"/>
      <w:numFmt w:val="bullet"/>
      <w:lvlText w:val=""/>
      <w:lvlJc w:val="left"/>
      <w:pPr>
        <w:ind w:left="720" w:hanging="360"/>
      </w:pPr>
      <w:rPr>
        <w:rFonts w:hint="default" w:ascii="Symbol" w:hAnsi="Symbol" w:cs="Symbol"/>
        <w:sz w:val="20"/>
      </w:rPr>
    </w:lvl>
    <w:lvl w:ilvl="1" w:tentative="0">
      <w:start w:val="1"/>
      <w:numFmt w:val="bullet"/>
      <w:lvlText w:val="o"/>
      <w:lvlJc w:val="left"/>
      <w:pPr>
        <w:ind w:left="1440" w:hanging="360"/>
      </w:pPr>
      <w:rPr>
        <w:rFonts w:hint="default" w:ascii="Courier New" w:hAnsi="Courier New" w:cs="Courier New"/>
        <w:sz w:val="20"/>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73AA2526"/>
    <w:multiLevelType w:val="singleLevel"/>
    <w:tmpl w:val="73AA2526"/>
    <w:lvl w:ilvl="0" w:tentative="0">
      <w:start w:val="1"/>
      <w:numFmt w:val="decimal"/>
      <w:lvlText w:val="%1."/>
      <w:lvlJc w:val="left"/>
      <w:pPr>
        <w:ind w:left="720" w:hanging="360"/>
      </w:pPr>
      <w:rPr>
        <w:sz w:val="24"/>
      </w:rPr>
    </w:lvl>
  </w:abstractNum>
  <w:num w:numId="1">
    <w:abstractNumId w:val="4"/>
  </w:num>
  <w:num w:numId="2">
    <w:abstractNumId w:val="0"/>
  </w:num>
  <w:num w:numId="3">
    <w:abstractNumId w:val="2"/>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0B5"/>
    <w:rsid w:val="00094CAE"/>
    <w:rsid w:val="000F22DF"/>
    <w:rsid w:val="00386648"/>
    <w:rsid w:val="003E652F"/>
    <w:rsid w:val="004267D2"/>
    <w:rsid w:val="004B353D"/>
    <w:rsid w:val="005F6854"/>
    <w:rsid w:val="00735A43"/>
    <w:rsid w:val="00744356"/>
    <w:rsid w:val="00784DBE"/>
    <w:rsid w:val="00847174"/>
    <w:rsid w:val="008D6F6E"/>
    <w:rsid w:val="008D7979"/>
    <w:rsid w:val="00A17B2E"/>
    <w:rsid w:val="00AB5CF2"/>
    <w:rsid w:val="00C93F80"/>
    <w:rsid w:val="00D57B7E"/>
    <w:rsid w:val="00E43D3E"/>
    <w:rsid w:val="00E9222E"/>
    <w:rsid w:val="00EB70A6"/>
    <w:rsid w:val="00F73C36"/>
    <w:rsid w:val="00FE10B5"/>
    <w:rsid w:val="0AC106C2"/>
    <w:rsid w:val="33F13B21"/>
    <w:rsid w:val="3BB64252"/>
    <w:rsid w:val="3ECF231E"/>
    <w:rsid w:val="5B084ACF"/>
    <w:rsid w:val="649D7742"/>
    <w:rsid w:val="6F4F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keepNext/>
      <w:keepLines/>
      <w:spacing w:before="260" w:after="260" w:line="413" w:lineRule="auto"/>
      <w:outlineLvl w:val="2"/>
    </w:pPr>
    <w:rPr>
      <w:b/>
      <w:sz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uiPriority w:val="99"/>
    <w:pPr>
      <w:jc w:val="left"/>
    </w:pPr>
  </w:style>
  <w:style w:type="paragraph" w:styleId="4">
    <w:name w:val="Balloon Text"/>
    <w:basedOn w:val="1"/>
    <w:link w:val="10"/>
    <w:semiHidden/>
    <w:unhideWhenUsed/>
    <w:uiPriority w:val="99"/>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Emphasis"/>
    <w:basedOn w:val="7"/>
    <w:qFormat/>
    <w:uiPriority w:val="20"/>
    <w:rPr>
      <w:i/>
    </w:rPr>
  </w:style>
  <w:style w:type="character" w:styleId="9">
    <w:name w:val="annotation reference"/>
    <w:basedOn w:val="7"/>
    <w:semiHidden/>
    <w:unhideWhenUsed/>
    <w:uiPriority w:val="99"/>
    <w:rPr>
      <w:sz w:val="21"/>
      <w:szCs w:val="21"/>
    </w:rPr>
  </w:style>
  <w:style w:type="character" w:customStyle="1" w:styleId="10">
    <w:name w:val="批注框文本 字符"/>
    <w:basedOn w:val="7"/>
    <w:link w:val="4"/>
    <w:semiHidden/>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ontractReview xmlns="http://schemas.wps.cn/vas-ai-hub/contract-review">
  <reviewItems>
    <reviewItem>
      <errorID>fb69b6ac-5375-452e-8997-f9e97d415e63</errorID>
      <errorWord>至少2年以上</errorWord>
      <group>L1_Word</group>
      <groupName>字词问题</groupName>
      <ability>L2_Typo</ability>
      <abilityName>字词错误</abilityName>
      <candidateList>
        <item>至少2年</item>
      </candidateList>
      <explain/>
      <paraID> DE2FB44</paraID>
      <start>11</start>
      <end>17</end>
      <status>unmodified</status>
      <modifiedWord/>
      <trackRevisions>false</trackRevisions>
    </reviewItem>
    <reviewItem>
      <errorID>f55eb731-2eac-456d-8719-b898661affda</errorID>
      <errorWord>后执</errorWord>
      <group>L1_Word</group>
      <groupName>字词问题</groupName>
      <ability>L2_Typo</ability>
      <abilityName>字词错误</abilityName>
      <candidateList>
        <item>后进</item>
      </candidateList>
      <explain/>
      <paraID>3575309B</paraID>
      <start>34</start>
      <end>36</end>
      <status>unmodified</status>
      <modifiedWord/>
      <trackRevisions>false</trackRevisions>
    </reviewItem>
    <reviewItem>
      <errorID>02d3400f-69c4-42d8-a4db-681e2aaae34c</errorID>
      <errorWord>个</errorWord>
      <group>L1_Knowledge</group>
      <groupName>知识性问题</groupName>
      <ability>L2_Knowledge</ability>
      <abilityName>其他知识</abilityName>
      <candidateList>
        <item>個</item>
      </candidateList>
      <explain/>
      <paraID> AC0E55E</paraID>
      <start>1</start>
      <end>2</end>
      <status>unmodified</status>
      <modifiedWord/>
      <trackRevisions>false</trackRevisions>
    </reviewItem>
    <reviewItem>
      <errorID>7d1fe027-787e-462f-919a-522da8207b5f</errorID>
      <errorWord>內</errorWord>
      <group>L1_Word</group>
      <groupName>字词问题</groupName>
      <ability>L2_Fanti</ability>
      <abilityName>繁转简</abilityName>
      <candidateList>
        <item>内</item>
      </candidateList>
      <explain>❶〈名〉方位词。里头（跟“外”相对）：～衣｜～部｜室～｜国～｜年～。❷指妻或妻的亲属：～人｜～侄｜～弟。❸指内心或内脏：～省｜～疚｜五～俱焚。❹〈书〉指皇宫：大～。</explain>
      <paraID> AC0E55E</paraID>
      <start>5</start>
      <end>6</end>
      <status>modified</status>
      <modifiedWord>内</modifiedWord>
      <trackRevisions>false</trackRevisions>
    </reviewItem>
    <reviewItem>
      <errorID>9536e320-e193-417b-a79c-f3e40bcc9f2f</errorID>
      <errorWord>个</errorWord>
      <group>L1_Knowledge</group>
      <groupName>知识性问题</groupName>
      <ability>L2_Knowledge</ability>
      <abilityName>其他知识</abilityName>
      <candidateList>
        <item>個</item>
      </candidateList>
      <explain/>
      <paraID>49F8D288</paraID>
      <start>1</start>
      <end>2</end>
      <status>unmodified</status>
      <modifiedWord/>
      <trackRevisions>false</trackRevisions>
    </reviewItem>
    <reviewItem>
      <errorID>b1baca9b-7ffb-45a0-a69a-1e172d3398db</errorID>
      <errorWord>內</errorWord>
      <group>L1_Word</group>
      <groupName>字词问题</groupName>
      <ability>L2_Fanti</ability>
      <abilityName>繁转简</abilityName>
      <candidateList>
        <item>内</item>
      </candidateList>
      <explain>❶〈名〉方位词。里头（跟“外”相对）：～衣｜～部｜室～｜国～｜年～。❷指妻或妻的亲属：～人｜～侄｜～弟。❸指内心或内脏：～省｜～疚｜五～俱焚。❹〈书〉指皇宫：大～。</explain>
      <paraID>49F8D288</paraID>
      <start>5</start>
      <end>6</end>
      <status>modified</status>
      <modifiedWord>内</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5AE88-2744-4348-913F-001CA96F5609}">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4</Pages>
  <Words>378</Words>
  <Characters>2157</Characters>
  <Lines>17</Lines>
  <Paragraphs>5</Paragraphs>
  <TotalTime>1</TotalTime>
  <ScaleCrop>false</ScaleCrop>
  <LinksUpToDate>false</LinksUpToDate>
  <CharactersWithSpaces>2530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2025-10-27T08:55:00Z</dcterms:created>
  <dc:creator>xb21cn</dc:creator>
  <cp:lastModifiedBy>谢姜娈</cp:lastModifiedBy>
  <dcterms:modified xsi:type="dcterms:W3CDTF">2026-02-25T02:54:53Z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eyJoZGlkIjoiMzEwNTM5NzYwMDRjMzkwZTVkZjY2ODkwMGIxNGU0OTUiLCJ1c2VySWQiOiI0ODAzMTM4MzkifQ==</vt:lpwstr>
  </property>
  <property fmtid="{D5CDD505-2E9C-101B-9397-08002B2CF9AE}" pid="3" name="KSOProductBuildVer">
    <vt:lpwstr>2052-11.8.2.10912</vt:lpwstr>
  </property>
  <property fmtid="{D5CDD505-2E9C-101B-9397-08002B2CF9AE}" pid="4" name="ICV">
    <vt:lpwstr>0497F5C573BC4D689D01D3113447DF05_13</vt:lpwstr>
  </property>
</Properties>
</file>