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b/>
          <w:color w:val="000000"/>
          <w:kern w:val="0"/>
          <w:sz w:val="44"/>
          <w:szCs w:val="44"/>
          <w:lang w:bidi="ar"/>
        </w:rPr>
      </w:pPr>
      <w:r>
        <w:rPr>
          <w:rFonts w:hint="eastAsia" w:ascii="方正小标宋简体" w:hAnsi="方正小标宋简体" w:eastAsia="方正小标宋简体" w:cs="方正小标宋简体"/>
          <w:b/>
          <w:color w:val="000000"/>
          <w:kern w:val="0"/>
          <w:sz w:val="44"/>
          <w:szCs w:val="44"/>
          <w:lang w:bidi="ar"/>
        </w:rPr>
        <w:t>网络系统</w:t>
      </w:r>
      <w:r>
        <w:rPr>
          <w:rFonts w:hint="eastAsia" w:ascii="方正小标宋简体" w:hAnsi="方正小标宋简体" w:eastAsia="方正小标宋简体" w:cs="方正小标宋简体"/>
          <w:b/>
          <w:color w:val="000000"/>
          <w:kern w:val="0"/>
          <w:sz w:val="44"/>
          <w:szCs w:val="44"/>
          <w:lang w:val="en-US" w:eastAsia="zh-CN" w:bidi="ar"/>
        </w:rPr>
        <w:t>运维及</w:t>
      </w:r>
      <w:r>
        <w:rPr>
          <w:rFonts w:hint="eastAsia" w:ascii="方正小标宋简体" w:hAnsi="方正小标宋简体" w:eastAsia="方正小标宋简体" w:cs="方正小标宋简体"/>
          <w:b/>
          <w:color w:val="000000"/>
          <w:kern w:val="0"/>
          <w:sz w:val="44"/>
          <w:szCs w:val="44"/>
          <w:lang w:bidi="ar"/>
        </w:rPr>
        <w:t>维保服务需求</w:t>
      </w:r>
    </w:p>
    <w:p>
      <w:pPr>
        <w:jc w:val="center"/>
      </w:pPr>
    </w:p>
    <w:p>
      <w:pPr>
        <w:ind w:firstLine="640" w:firstLineChars="200"/>
        <w:rPr>
          <w:rFonts w:ascii="黑体" w:hAnsi="黑体" w:eastAsia="黑体"/>
          <w:sz w:val="32"/>
          <w:szCs w:val="32"/>
        </w:rPr>
      </w:pPr>
      <w:r>
        <w:rPr>
          <w:rFonts w:hint="eastAsia" w:ascii="黑体" w:hAnsi="黑体" w:eastAsia="黑体"/>
          <w:sz w:val="32"/>
          <w:szCs w:val="32"/>
        </w:rPr>
        <w:t>一、项目背景</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随着我院信息化建设不断发展，信息网络系统越来越庞大。网络系统作为医院各业务信息系统运行的平台，是医院整体信息系统的重要组成部分。网络系统比较复杂，容易出问题，检修工作难度较大，一旦出现故障将严重影响业务信息系统的正常运行，甚至导致信息业务系统的瘫痪。因此信息网络系统安全管理与设备维护显得尤为重要，需要专业的网络运维管理，才能保证网络设备的稳定运行，才能减少故障，提高信息网络系统的安全和效率。</w:t>
      </w:r>
    </w:p>
    <w:p>
      <w:pPr>
        <w:ind w:firstLine="640" w:firstLineChars="200"/>
        <w:rPr>
          <w:rFonts w:ascii="黑体" w:hAnsi="黑体" w:eastAsia="黑体"/>
          <w:sz w:val="32"/>
          <w:szCs w:val="32"/>
        </w:rPr>
      </w:pPr>
      <w:r>
        <w:rPr>
          <w:rFonts w:hint="eastAsia" w:ascii="黑体" w:hAnsi="黑体" w:eastAsia="黑体"/>
          <w:sz w:val="32"/>
          <w:szCs w:val="32"/>
        </w:rPr>
        <w:t>二、建设目标</w:t>
      </w:r>
    </w:p>
    <w:p>
      <w:pPr>
        <w:ind w:firstLine="640" w:firstLineChars="200"/>
        <w:rPr>
          <w:rFonts w:ascii="仿宋_GB2312" w:hAnsi="仿宋" w:eastAsia="仿宋_GB2312"/>
          <w:sz w:val="32"/>
          <w:szCs w:val="32"/>
        </w:rPr>
      </w:pPr>
      <w:r>
        <w:rPr>
          <w:rFonts w:hint="eastAsia" w:ascii="仿宋_GB2312" w:hAnsi="仿宋" w:eastAsia="仿宋_GB2312"/>
          <w:sz w:val="32"/>
          <w:szCs w:val="32"/>
        </w:rPr>
        <w:t>通过采购网络系统的维保服务，以获得具备</w:t>
      </w:r>
      <w:r>
        <w:rPr>
          <w:rFonts w:hint="eastAsia" w:ascii="仿宋_GB2312" w:hAnsi="仿宋" w:eastAsia="仿宋_GB2312"/>
          <w:color w:val="FF0000"/>
          <w:sz w:val="32"/>
          <w:szCs w:val="32"/>
        </w:rPr>
        <w:t>华为认证网络工程师的软调服务</w:t>
      </w:r>
      <w:r>
        <w:rPr>
          <w:rFonts w:hint="eastAsia" w:ascii="仿宋_GB2312" w:hAnsi="仿宋" w:eastAsia="仿宋_GB2312"/>
          <w:sz w:val="32"/>
          <w:szCs w:val="32"/>
        </w:rPr>
        <w:t>及部分核心网络设备硬件保修服务等，以对我院网络系统进行规范化的修复性服务以及定期预防性维护服务，提高网络系统的可靠性、稳定性及可使用率，对存在问题及突发故障提供及时有效的技术支持、完善的解决方案和防范机制，减低故障对业务工作的影响，使设备</w:t>
      </w:r>
      <w:bookmarkStart w:id="3" w:name="_GoBack"/>
      <w:bookmarkEnd w:id="3"/>
      <w:r>
        <w:rPr>
          <w:rFonts w:hint="eastAsia" w:ascii="仿宋_GB2312" w:hAnsi="仿宋" w:eastAsia="仿宋_GB2312"/>
          <w:sz w:val="32"/>
          <w:szCs w:val="32"/>
        </w:rPr>
        <w:t>和网络系统保持或迅速恢复期良好的工作状态，消除产生故障的薄弱环节，使医院的网络系统更趋于稳定、安全、合理和高效，尽可能的避免因其他主观、客观因素而发生不可挽救的影响。</w:t>
      </w:r>
    </w:p>
    <w:p>
      <w:pPr>
        <w:ind w:firstLine="640" w:firstLineChars="200"/>
        <w:rPr>
          <w:rFonts w:ascii="黑体" w:hAnsi="黑体" w:eastAsia="黑体"/>
          <w:sz w:val="32"/>
          <w:szCs w:val="32"/>
        </w:rPr>
      </w:pPr>
      <w:r>
        <w:rPr>
          <w:rFonts w:hint="eastAsia" w:ascii="黑体" w:hAnsi="黑体" w:eastAsia="黑体"/>
          <w:sz w:val="32"/>
          <w:szCs w:val="32"/>
        </w:rPr>
        <w:t>三、服务内容</w:t>
      </w:r>
    </w:p>
    <w:p>
      <w:pPr>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（一）接入网安装及维护服务范围</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w:t>
      </w:r>
      <w:r>
        <w:rPr>
          <w:rFonts w:hint="eastAsia" w:ascii="仿宋_GB2312" w:hAnsi="仿宋" w:eastAsia="仿宋_GB2312"/>
          <w:sz w:val="32"/>
          <w:szCs w:val="32"/>
          <w:lang w:val="en-US" w:eastAsia="zh-CN"/>
        </w:rPr>
        <w:t>城北门</w:t>
      </w:r>
      <w:r>
        <w:rPr>
          <w:rFonts w:hint="eastAsia" w:ascii="仿宋_GB2312" w:hAnsi="仿宋" w:eastAsia="仿宋_GB2312"/>
          <w:sz w:val="32"/>
          <w:szCs w:val="32"/>
        </w:rPr>
        <w:t>诊接入网维护</w:t>
      </w:r>
    </w:p>
    <w:p>
      <w:pPr>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.药剂楼接入网维护</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.病理楼接入网维护</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.传染病区接入网维护</w:t>
      </w:r>
    </w:p>
    <w:p>
      <w:pPr>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5</w:t>
      </w:r>
      <w:r>
        <w:rPr>
          <w:rFonts w:hint="eastAsia" w:ascii="仿宋_GB2312" w:hAnsi="仿宋" w:eastAsia="仿宋_GB2312"/>
          <w:sz w:val="32"/>
          <w:szCs w:val="32"/>
        </w:rPr>
        <w:t>.行政机关办公楼接入网维护</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6</w:t>
      </w:r>
      <w:r>
        <w:rPr>
          <w:rFonts w:hint="eastAsia" w:ascii="仿宋_GB2312" w:hAnsi="仿宋" w:eastAsia="仿宋_GB2312"/>
          <w:sz w:val="32"/>
          <w:szCs w:val="32"/>
        </w:rPr>
        <w:t>.肿瘤内科楼接入网维护</w:t>
      </w:r>
    </w:p>
    <w:p>
      <w:pPr>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7</w:t>
      </w:r>
      <w:r>
        <w:rPr>
          <w:rFonts w:hint="eastAsia" w:ascii="仿宋_GB2312" w:hAnsi="仿宋" w:eastAsia="仿宋_GB2312"/>
          <w:sz w:val="32"/>
          <w:szCs w:val="32"/>
        </w:rPr>
        <w:t>.</w:t>
      </w:r>
      <w:r>
        <w:rPr>
          <w:rFonts w:hint="eastAsia" w:ascii="仿宋_GB2312" w:hAnsi="仿宋" w:eastAsia="仿宋_GB2312"/>
          <w:sz w:val="32"/>
          <w:szCs w:val="32"/>
          <w:lang w:val="en-US" w:eastAsia="zh-CN"/>
        </w:rPr>
        <w:t>安康</w:t>
      </w:r>
      <w:r>
        <w:rPr>
          <w:rFonts w:hint="eastAsia" w:ascii="仿宋_GB2312" w:hAnsi="仿宋" w:eastAsia="仿宋_GB2312"/>
          <w:sz w:val="32"/>
          <w:szCs w:val="32"/>
        </w:rPr>
        <w:t>楼接入网维护</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8</w:t>
      </w:r>
      <w:r>
        <w:rPr>
          <w:rFonts w:hint="eastAsia" w:ascii="仿宋_GB2312" w:hAnsi="仿宋" w:eastAsia="仿宋_GB2312"/>
          <w:sz w:val="32"/>
          <w:szCs w:val="32"/>
        </w:rPr>
        <w:t>.发热病区接入网维护</w:t>
      </w:r>
    </w:p>
    <w:p>
      <w:pPr>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9</w:t>
      </w:r>
      <w:r>
        <w:rPr>
          <w:rFonts w:hint="eastAsia" w:ascii="仿宋_GB2312" w:hAnsi="仿宋" w:eastAsia="仿宋_GB2312"/>
          <w:sz w:val="32"/>
          <w:szCs w:val="32"/>
        </w:rPr>
        <w:t>.门诊楼接入网维护</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10</w:t>
      </w:r>
      <w:r>
        <w:rPr>
          <w:rFonts w:hint="eastAsia" w:ascii="仿宋_GB2312" w:hAnsi="仿宋" w:eastAsia="仿宋_GB2312"/>
          <w:sz w:val="32"/>
          <w:szCs w:val="32"/>
        </w:rPr>
        <w:t>.旧生活区接入网维护</w:t>
      </w:r>
    </w:p>
    <w:p>
      <w:pPr>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11</w:t>
      </w:r>
      <w:r>
        <w:rPr>
          <w:rFonts w:hint="eastAsia" w:ascii="仿宋_GB2312" w:hAnsi="仿宋" w:eastAsia="仿宋_GB2312"/>
          <w:sz w:val="32"/>
          <w:szCs w:val="32"/>
        </w:rPr>
        <w:t>.</w:t>
      </w:r>
      <w:r>
        <w:rPr>
          <w:rFonts w:hint="eastAsia" w:ascii="仿宋_GB2312" w:hAnsi="仿宋" w:eastAsia="仿宋_GB2312"/>
          <w:sz w:val="32"/>
          <w:szCs w:val="32"/>
          <w:lang w:val="en-US" w:eastAsia="zh-CN"/>
        </w:rPr>
        <w:t>内科</w:t>
      </w:r>
      <w:r>
        <w:rPr>
          <w:rFonts w:hint="eastAsia" w:ascii="仿宋_GB2312" w:hAnsi="仿宋" w:eastAsia="仿宋_GB2312"/>
          <w:sz w:val="32"/>
          <w:szCs w:val="32"/>
        </w:rPr>
        <w:t>楼</w:t>
      </w:r>
      <w:r>
        <w:rPr>
          <w:rFonts w:hint="eastAsia" w:ascii="仿宋_GB2312" w:hAnsi="仿宋" w:eastAsia="仿宋_GB2312"/>
          <w:sz w:val="32"/>
          <w:szCs w:val="32"/>
          <w:lang w:val="en-US" w:eastAsia="zh-CN"/>
        </w:rPr>
        <w:t>接入网维护</w:t>
      </w:r>
    </w:p>
    <w:p>
      <w:pPr>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rPr>
        <w:t>1</w:t>
      </w:r>
      <w:r>
        <w:rPr>
          <w:rFonts w:hint="eastAsia" w:ascii="仿宋_GB2312" w:hAnsi="仿宋" w:eastAsia="仿宋_GB2312"/>
          <w:sz w:val="32"/>
          <w:szCs w:val="32"/>
          <w:lang w:val="en-US" w:eastAsia="zh-CN"/>
        </w:rPr>
        <w:t>2</w:t>
      </w:r>
      <w:r>
        <w:rPr>
          <w:rFonts w:hint="eastAsia" w:ascii="仿宋_GB2312" w:hAnsi="仿宋" w:eastAsia="仿宋_GB2312"/>
          <w:sz w:val="32"/>
          <w:szCs w:val="32"/>
        </w:rPr>
        <w:t>.</w:t>
      </w:r>
      <w:r>
        <w:rPr>
          <w:rFonts w:hint="eastAsia" w:ascii="仿宋_GB2312" w:hAnsi="仿宋" w:eastAsia="仿宋_GB2312"/>
          <w:sz w:val="32"/>
          <w:szCs w:val="32"/>
          <w:lang w:val="en-US" w:eastAsia="zh-CN"/>
        </w:rPr>
        <w:t>新外科</w:t>
      </w:r>
      <w:r>
        <w:rPr>
          <w:rFonts w:hint="eastAsia" w:ascii="仿宋_GB2312" w:hAnsi="仿宋" w:eastAsia="仿宋_GB2312"/>
          <w:sz w:val="32"/>
          <w:szCs w:val="32"/>
        </w:rPr>
        <w:t>综合楼</w:t>
      </w:r>
      <w:r>
        <w:rPr>
          <w:rFonts w:hint="eastAsia" w:ascii="仿宋_GB2312" w:hAnsi="仿宋" w:eastAsia="仿宋_GB2312"/>
          <w:sz w:val="32"/>
          <w:szCs w:val="32"/>
          <w:lang w:val="en-US" w:eastAsia="zh-CN"/>
        </w:rPr>
        <w:t>接入网维护</w:t>
      </w:r>
    </w:p>
    <w:p>
      <w:pPr>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（二）传输干线、中继线光缆维护及应急抢修维护服务范围</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1.数据中心机房至监控中心48芯干线光缆维护及应急抢修</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2.数据中心机房至院内光交箱128芯干线光缆维护及应急抢修</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3.数据中心机房至外科楼48芯干线光缆维护及应急抢修</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4.外科楼至儿科楼24芯干线光缆维护及应急抢修</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5.院内光交箱至行政机关办公楼光交箱96芯干线光缆维护及应急抢修</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6.院内光交箱至病理楼、急诊楼、肿瘤科、直加楼、药剂楼、应急病区等干线光缆中继线维护及应急抢修</w:t>
      </w:r>
    </w:p>
    <w:p>
      <w:pPr>
        <w:numPr>
          <w:ilvl w:val="0"/>
          <w:numId w:val="0"/>
        </w:numPr>
        <w:ind w:firstLine="321" w:firstLineChars="100"/>
        <w:rPr>
          <w:rFonts w:hint="eastAsia" w:ascii="楷体_GB2312" w:hAnsi="仿宋" w:eastAsia="楷体_GB2312"/>
          <w:b/>
          <w:sz w:val="32"/>
          <w:szCs w:val="32"/>
        </w:rPr>
      </w:pPr>
      <w:r>
        <w:rPr>
          <w:rFonts w:hint="eastAsia" w:ascii="楷体_GB2312" w:hAnsi="仿宋" w:eastAsia="楷体_GB2312"/>
          <w:b/>
          <w:sz w:val="32"/>
          <w:szCs w:val="32"/>
          <w:lang w:val="en-US" w:eastAsia="zh-CN"/>
        </w:rPr>
        <w:t>（三）接入层、</w:t>
      </w:r>
      <w:r>
        <w:rPr>
          <w:rFonts w:hint="eastAsia" w:ascii="楷体_GB2312" w:hAnsi="仿宋" w:eastAsia="楷体_GB2312"/>
          <w:b/>
          <w:sz w:val="32"/>
          <w:szCs w:val="32"/>
        </w:rPr>
        <w:t>汇聚层、核心层交换机VLAN、路由、策略维护服务范围</w:t>
      </w:r>
    </w:p>
    <w:p>
      <w:pPr>
        <w:ind w:firstLine="640" w:firstLineChars="200"/>
        <w:rPr>
          <w:rFonts w:hint="eastAsia" w:ascii="仿宋_GB2312" w:hAnsi="仿宋" w:eastAsia="仿宋_GB2312"/>
          <w:b w:val="0"/>
          <w:bCs/>
          <w:sz w:val="32"/>
          <w:szCs w:val="32"/>
        </w:rPr>
      </w:pPr>
      <w:r>
        <w:rPr>
          <w:rFonts w:hint="eastAsia" w:ascii="楷体_GB2312" w:hAnsi="仿宋" w:eastAsia="楷体_GB2312"/>
          <w:b w:val="0"/>
          <w:bCs/>
          <w:sz w:val="32"/>
          <w:szCs w:val="32"/>
          <w:lang w:val="en-US" w:eastAsia="zh-CN"/>
        </w:rPr>
        <w:t>1.</w:t>
      </w:r>
      <w:r>
        <w:rPr>
          <w:rFonts w:hint="eastAsia" w:ascii="仿宋_GB2312" w:hAnsi="仿宋" w:eastAsia="仿宋_GB2312"/>
          <w:b w:val="0"/>
          <w:bCs/>
          <w:sz w:val="32"/>
          <w:szCs w:val="32"/>
        </w:rPr>
        <w:t>全院二层接入网交换机做VLAN数据维护</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.全院在网的汇聚交换机VLAN、路由、零部件维保服务、策略维护</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.院内核心S9306交换机</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数据区核心S7706交换机</w:t>
      </w:r>
      <w:r>
        <w:rPr>
          <w:rFonts w:hint="eastAsia" w:ascii="仿宋_GB2312" w:hAnsi="仿宋" w:eastAsia="仿宋_GB2312"/>
          <w:sz w:val="32"/>
          <w:szCs w:val="32"/>
        </w:rPr>
        <w:t>VLAN、路由、零部件</w:t>
      </w:r>
      <w:r>
        <w:rPr>
          <w:rFonts w:hint="eastAsia" w:ascii="仿宋_GB2312" w:hAnsi="仿宋" w:eastAsia="仿宋_GB2312"/>
          <w:sz w:val="32"/>
          <w:szCs w:val="32"/>
          <w:lang w:val="en-US" w:eastAsia="zh-CN"/>
        </w:rPr>
        <w:t>维保</w:t>
      </w:r>
      <w:r>
        <w:rPr>
          <w:rFonts w:hint="eastAsia" w:ascii="仿宋_GB2312" w:hAnsi="仿宋" w:eastAsia="仿宋_GB2312"/>
          <w:sz w:val="32"/>
          <w:szCs w:val="32"/>
        </w:rPr>
        <w:t>服务、策略维护</w:t>
      </w:r>
    </w:p>
    <w:tbl>
      <w:tblPr>
        <w:tblStyle w:val="7"/>
        <w:tblpPr w:leftFromText="180" w:rightFromText="180" w:vertAnchor="text" w:horzAnchor="page" w:tblpX="2652" w:tblpY="81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1605"/>
        <w:gridCol w:w="1980"/>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Align w:val="center"/>
          </w:tcPr>
          <w:p>
            <w:pPr>
              <w:adjustRightInd w:val="0"/>
              <w:snapToGrid w:val="0"/>
              <w:spacing w:line="360" w:lineRule="auto"/>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序号</w:t>
            </w:r>
          </w:p>
        </w:tc>
        <w:tc>
          <w:tcPr>
            <w:tcW w:w="1605" w:type="dxa"/>
            <w:vAlign w:val="center"/>
          </w:tcPr>
          <w:p>
            <w:pPr>
              <w:adjustRightInd w:val="0"/>
              <w:snapToGrid w:val="0"/>
              <w:spacing w:line="360" w:lineRule="auto"/>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产品类别</w:t>
            </w:r>
          </w:p>
        </w:tc>
        <w:tc>
          <w:tcPr>
            <w:tcW w:w="1980" w:type="dxa"/>
            <w:vAlign w:val="center"/>
          </w:tcPr>
          <w:p>
            <w:pPr>
              <w:adjustRightInd w:val="0"/>
              <w:snapToGrid w:val="0"/>
              <w:spacing w:line="360" w:lineRule="auto"/>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院内设备命名</w:t>
            </w:r>
          </w:p>
        </w:tc>
        <w:tc>
          <w:tcPr>
            <w:tcW w:w="2422" w:type="dxa"/>
            <w:vAlign w:val="center"/>
          </w:tcPr>
          <w:p>
            <w:pPr>
              <w:adjustRightInd w:val="0"/>
              <w:snapToGrid w:val="0"/>
              <w:spacing w:line="360" w:lineRule="auto"/>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产品名称及规格型号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Align w:val="center"/>
          </w:tcPr>
          <w:p>
            <w:pPr>
              <w:adjustRightInd w:val="0"/>
              <w:snapToGrid w:val="0"/>
              <w:spacing w:line="360" w:lineRule="auto"/>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605" w:type="dxa"/>
            <w:vAlign w:val="center"/>
          </w:tcPr>
          <w:p>
            <w:pPr>
              <w:adjustRightInd w:val="0"/>
              <w:snapToGrid w:val="0"/>
              <w:spacing w:line="360" w:lineRule="auto"/>
              <w:jc w:val="center"/>
              <w:rPr>
                <w:rFonts w:hint="eastAsia" w:ascii="仿宋" w:hAnsi="仿宋" w:eastAsia="仿宋" w:cs="仿宋"/>
                <w:sz w:val="28"/>
                <w:szCs w:val="28"/>
                <w:vertAlign w:val="baseline"/>
              </w:rPr>
            </w:pPr>
            <w:r>
              <w:rPr>
                <w:rFonts w:hint="eastAsia" w:ascii="仿宋" w:hAnsi="仿宋" w:eastAsia="仿宋" w:cs="仿宋"/>
                <w:sz w:val="28"/>
                <w:szCs w:val="28"/>
                <w:vertAlign w:val="baseline"/>
              </w:rPr>
              <w:t>交换机</w:t>
            </w:r>
          </w:p>
        </w:tc>
        <w:tc>
          <w:tcPr>
            <w:tcW w:w="1980" w:type="dxa"/>
            <w:vAlign w:val="center"/>
          </w:tcPr>
          <w:p>
            <w:pPr>
              <w:adjustRightInd w:val="0"/>
              <w:snapToGrid w:val="0"/>
              <w:spacing w:line="360" w:lineRule="auto"/>
              <w:jc w:val="center"/>
              <w:rPr>
                <w:rFonts w:hint="eastAsia" w:ascii="仿宋" w:hAnsi="仿宋" w:eastAsia="仿宋" w:cs="仿宋"/>
                <w:sz w:val="28"/>
                <w:szCs w:val="28"/>
                <w:vertAlign w:val="baseline"/>
              </w:rPr>
            </w:pPr>
            <w:r>
              <w:rPr>
                <w:rFonts w:hint="eastAsia" w:ascii="仿宋" w:hAnsi="仿宋" w:eastAsia="仿宋" w:cs="仿宋"/>
                <w:sz w:val="28"/>
                <w:szCs w:val="28"/>
                <w:vertAlign w:val="baseline"/>
              </w:rPr>
              <w:t>核心交换机</w:t>
            </w:r>
          </w:p>
        </w:tc>
        <w:tc>
          <w:tcPr>
            <w:tcW w:w="2422" w:type="dxa"/>
            <w:vAlign w:val="center"/>
          </w:tcPr>
          <w:p>
            <w:pPr>
              <w:adjustRightInd w:val="0"/>
              <w:snapToGrid w:val="0"/>
              <w:spacing w:line="360" w:lineRule="auto"/>
              <w:jc w:val="center"/>
              <w:rPr>
                <w:rFonts w:hint="eastAsia" w:ascii="仿宋" w:hAnsi="仿宋" w:eastAsia="仿宋" w:cs="仿宋"/>
                <w:sz w:val="28"/>
                <w:szCs w:val="28"/>
                <w:vertAlign w:val="baseline"/>
              </w:rPr>
            </w:pPr>
            <w:r>
              <w:rPr>
                <w:rFonts w:hint="eastAsia" w:ascii="仿宋" w:hAnsi="仿宋" w:eastAsia="仿宋" w:cs="仿宋"/>
                <w:sz w:val="28"/>
                <w:szCs w:val="28"/>
                <w:vertAlign w:val="baseline"/>
              </w:rPr>
              <w:t>S9</w:t>
            </w:r>
            <w:r>
              <w:rPr>
                <w:rFonts w:hint="eastAsia" w:ascii="仿宋" w:hAnsi="仿宋" w:eastAsia="仿宋" w:cs="仿宋"/>
                <w:sz w:val="28"/>
                <w:szCs w:val="28"/>
                <w:vertAlign w:val="baseline"/>
                <w:lang w:val="en-US" w:eastAsia="zh-CN"/>
              </w:rPr>
              <w:t>3</w:t>
            </w:r>
            <w:r>
              <w:rPr>
                <w:rFonts w:hint="eastAsia" w:ascii="仿宋" w:hAnsi="仿宋" w:eastAsia="仿宋" w:cs="仿宋"/>
                <w:sz w:val="28"/>
                <w:szCs w:val="28"/>
                <w:vertAlign w:val="baseline"/>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Align w:val="center"/>
          </w:tcPr>
          <w:p>
            <w:pPr>
              <w:adjustRightInd w:val="0"/>
              <w:snapToGrid w:val="0"/>
              <w:spacing w:line="360" w:lineRule="auto"/>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w:t>
            </w:r>
          </w:p>
        </w:tc>
        <w:tc>
          <w:tcPr>
            <w:tcW w:w="1605" w:type="dxa"/>
            <w:vAlign w:val="center"/>
          </w:tcPr>
          <w:p>
            <w:pPr>
              <w:adjustRightInd w:val="0"/>
              <w:snapToGrid w:val="0"/>
              <w:spacing w:line="360" w:lineRule="auto"/>
              <w:jc w:val="center"/>
              <w:rPr>
                <w:rFonts w:hint="eastAsia" w:ascii="仿宋" w:hAnsi="仿宋" w:eastAsia="仿宋" w:cs="仿宋"/>
                <w:sz w:val="28"/>
                <w:szCs w:val="28"/>
                <w:vertAlign w:val="baseline"/>
              </w:rPr>
            </w:pPr>
            <w:r>
              <w:rPr>
                <w:rFonts w:hint="eastAsia" w:ascii="仿宋" w:hAnsi="仿宋" w:eastAsia="仿宋" w:cs="仿宋"/>
                <w:sz w:val="28"/>
                <w:szCs w:val="28"/>
                <w:vertAlign w:val="baseline"/>
              </w:rPr>
              <w:t>交换机</w:t>
            </w:r>
          </w:p>
        </w:tc>
        <w:tc>
          <w:tcPr>
            <w:tcW w:w="1980" w:type="dxa"/>
            <w:vAlign w:val="center"/>
          </w:tcPr>
          <w:p>
            <w:pPr>
              <w:adjustRightInd w:val="0"/>
              <w:snapToGrid w:val="0"/>
              <w:spacing w:line="360" w:lineRule="auto"/>
              <w:jc w:val="center"/>
              <w:rPr>
                <w:rFonts w:hint="eastAsia" w:ascii="仿宋" w:hAnsi="仿宋" w:eastAsia="仿宋" w:cs="仿宋"/>
                <w:sz w:val="28"/>
                <w:szCs w:val="28"/>
                <w:vertAlign w:val="baseline"/>
              </w:rPr>
            </w:pPr>
            <w:r>
              <w:rPr>
                <w:rFonts w:hint="eastAsia" w:ascii="仿宋" w:hAnsi="仿宋" w:eastAsia="仿宋" w:cs="仿宋"/>
                <w:sz w:val="28"/>
                <w:szCs w:val="28"/>
                <w:vertAlign w:val="baseline"/>
              </w:rPr>
              <w:t>数据中心交换机</w:t>
            </w:r>
          </w:p>
        </w:tc>
        <w:tc>
          <w:tcPr>
            <w:tcW w:w="2422" w:type="dxa"/>
            <w:vAlign w:val="center"/>
          </w:tcPr>
          <w:p>
            <w:pPr>
              <w:adjustRightInd w:val="0"/>
              <w:snapToGrid w:val="0"/>
              <w:spacing w:line="360" w:lineRule="auto"/>
              <w:jc w:val="center"/>
              <w:rPr>
                <w:rFonts w:hint="eastAsia" w:ascii="仿宋" w:hAnsi="仿宋" w:eastAsia="仿宋" w:cs="仿宋"/>
                <w:sz w:val="28"/>
                <w:szCs w:val="28"/>
                <w:vertAlign w:val="baseline"/>
              </w:rPr>
            </w:pPr>
            <w:r>
              <w:rPr>
                <w:rFonts w:hint="eastAsia" w:ascii="仿宋" w:hAnsi="仿宋" w:eastAsia="仿宋" w:cs="仿宋"/>
                <w:sz w:val="28"/>
                <w:szCs w:val="28"/>
                <w:vertAlign w:val="baseline"/>
              </w:rPr>
              <w:t>S7706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Align w:val="center"/>
          </w:tcPr>
          <w:p>
            <w:pPr>
              <w:adjustRightInd w:val="0"/>
              <w:snapToGrid w:val="0"/>
              <w:spacing w:line="360" w:lineRule="auto"/>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c>
          <w:tcPr>
            <w:tcW w:w="1605" w:type="dxa"/>
            <w:vAlign w:val="center"/>
          </w:tcPr>
          <w:p>
            <w:pPr>
              <w:adjustRightInd w:val="0"/>
              <w:snapToGrid w:val="0"/>
              <w:spacing w:line="360" w:lineRule="auto"/>
              <w:jc w:val="center"/>
              <w:rPr>
                <w:rFonts w:hint="eastAsia" w:ascii="仿宋" w:hAnsi="仿宋" w:eastAsia="仿宋" w:cs="仿宋"/>
                <w:sz w:val="28"/>
                <w:szCs w:val="28"/>
                <w:vertAlign w:val="baseline"/>
              </w:rPr>
            </w:pPr>
            <w:r>
              <w:rPr>
                <w:rFonts w:hint="eastAsia" w:ascii="仿宋" w:hAnsi="仿宋" w:eastAsia="仿宋" w:cs="仿宋"/>
                <w:sz w:val="28"/>
                <w:szCs w:val="28"/>
                <w:vertAlign w:val="baseline"/>
              </w:rPr>
              <w:t>交换机</w:t>
            </w:r>
          </w:p>
        </w:tc>
        <w:tc>
          <w:tcPr>
            <w:tcW w:w="1980" w:type="dxa"/>
            <w:vAlign w:val="center"/>
          </w:tcPr>
          <w:p>
            <w:pPr>
              <w:adjustRightInd w:val="0"/>
              <w:snapToGrid w:val="0"/>
              <w:spacing w:line="360" w:lineRule="auto"/>
              <w:jc w:val="center"/>
              <w:rPr>
                <w:rFonts w:hint="eastAsia" w:ascii="仿宋" w:hAnsi="仿宋" w:eastAsia="仿宋" w:cs="仿宋"/>
                <w:sz w:val="28"/>
                <w:szCs w:val="28"/>
                <w:vertAlign w:val="baseline"/>
              </w:rPr>
            </w:pPr>
            <w:r>
              <w:rPr>
                <w:rFonts w:hint="eastAsia" w:ascii="仿宋" w:hAnsi="仿宋" w:eastAsia="仿宋" w:cs="仿宋"/>
                <w:sz w:val="28"/>
                <w:szCs w:val="28"/>
                <w:vertAlign w:val="baseline"/>
              </w:rPr>
              <w:t>汇聚交换机</w:t>
            </w:r>
          </w:p>
        </w:tc>
        <w:tc>
          <w:tcPr>
            <w:tcW w:w="2422" w:type="dxa"/>
            <w:vAlign w:val="center"/>
          </w:tcPr>
          <w:p>
            <w:pPr>
              <w:adjustRightInd w:val="0"/>
              <w:snapToGrid w:val="0"/>
              <w:spacing w:line="360" w:lineRule="auto"/>
              <w:jc w:val="center"/>
              <w:rPr>
                <w:rFonts w:hint="eastAsia" w:ascii="仿宋" w:hAnsi="仿宋" w:eastAsia="仿宋" w:cs="仿宋"/>
                <w:sz w:val="28"/>
                <w:szCs w:val="28"/>
                <w:vertAlign w:val="baseline"/>
              </w:rPr>
            </w:pPr>
            <w:r>
              <w:rPr>
                <w:rFonts w:hint="eastAsia" w:ascii="仿宋" w:hAnsi="仿宋" w:eastAsia="仿宋" w:cs="仿宋"/>
                <w:sz w:val="28"/>
                <w:szCs w:val="28"/>
                <w:vertAlign w:val="baseline"/>
              </w:rPr>
              <w:t>CloudEngine S6730-H48X6C</w:t>
            </w:r>
          </w:p>
        </w:tc>
      </w:tr>
    </w:tbl>
    <w:p>
      <w:pPr>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交换机列表：</w:t>
      </w:r>
    </w:p>
    <w:p>
      <w:pPr>
        <w:ind w:firstLine="643" w:firstLineChars="200"/>
        <w:rPr>
          <w:rFonts w:ascii="楷体_GB2312" w:hAnsi="仿宋" w:eastAsia="楷体_GB2312"/>
          <w:b/>
          <w:sz w:val="32"/>
          <w:szCs w:val="32"/>
        </w:rPr>
      </w:pPr>
      <w:r>
        <w:rPr>
          <w:rFonts w:hint="eastAsia" w:ascii="楷体_GB2312" w:hAnsi="仿宋" w:eastAsia="楷体_GB2312"/>
          <w:b/>
          <w:sz w:val="32"/>
          <w:szCs w:val="32"/>
        </w:rPr>
        <w:t>（</w:t>
      </w:r>
      <w:r>
        <w:rPr>
          <w:rFonts w:hint="eastAsia" w:ascii="楷体_GB2312" w:hAnsi="仿宋" w:eastAsia="楷体_GB2312"/>
          <w:b/>
          <w:sz w:val="32"/>
          <w:szCs w:val="32"/>
          <w:lang w:val="en-US" w:eastAsia="zh-CN"/>
        </w:rPr>
        <w:t>四</w:t>
      </w:r>
      <w:r>
        <w:rPr>
          <w:rFonts w:hint="eastAsia" w:ascii="楷体_GB2312" w:hAnsi="仿宋" w:eastAsia="楷体_GB2312"/>
          <w:b/>
          <w:sz w:val="32"/>
          <w:szCs w:val="32"/>
        </w:rPr>
        <w:t>）数据中心机房服务器组群接入网维护服务范围</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数据中心核心服务器组群双链路接入核心交换机的光接入网数据维护</w:t>
      </w:r>
    </w:p>
    <w:p>
      <w:pPr>
        <w:ind w:firstLine="643" w:firstLineChars="200"/>
        <w:rPr>
          <w:rFonts w:ascii="楷体_GB2312" w:hAnsi="仿宋" w:eastAsia="楷体_GB2312"/>
          <w:b/>
          <w:sz w:val="32"/>
          <w:szCs w:val="32"/>
          <w:highlight w:val="none"/>
        </w:rPr>
      </w:pPr>
      <w:r>
        <w:rPr>
          <w:rFonts w:hint="eastAsia" w:ascii="楷体_GB2312" w:hAnsi="仿宋" w:eastAsia="楷体_GB2312"/>
          <w:b/>
          <w:sz w:val="32"/>
          <w:szCs w:val="32"/>
          <w:highlight w:val="none"/>
        </w:rPr>
        <w:t>（</w:t>
      </w:r>
      <w:r>
        <w:rPr>
          <w:rFonts w:hint="eastAsia" w:ascii="楷体_GB2312" w:hAnsi="仿宋" w:eastAsia="楷体_GB2312"/>
          <w:b/>
          <w:sz w:val="32"/>
          <w:szCs w:val="32"/>
          <w:highlight w:val="none"/>
          <w:lang w:val="en-US" w:eastAsia="zh-CN"/>
        </w:rPr>
        <w:t>五</w:t>
      </w:r>
      <w:r>
        <w:rPr>
          <w:rFonts w:hint="eastAsia" w:ascii="楷体_GB2312" w:hAnsi="仿宋" w:eastAsia="楷体_GB2312"/>
          <w:b/>
          <w:sz w:val="32"/>
          <w:szCs w:val="32"/>
          <w:highlight w:val="none"/>
        </w:rPr>
        <w:t>）安全设备的维保服务、网络安全服务支持</w:t>
      </w:r>
    </w:p>
    <w:p>
      <w:pPr>
        <w:ind w:firstLine="640" w:firstLineChars="200"/>
        <w:rPr>
          <w:rFonts w:hint="default" w:ascii="仿宋_GB2312" w:hAnsi="仿宋" w:eastAsia="仿宋_GB2312"/>
          <w:sz w:val="32"/>
          <w:szCs w:val="32"/>
          <w:highlight w:val="none"/>
          <w:lang w:val="en-US" w:eastAsia="zh-CN"/>
        </w:rPr>
      </w:pPr>
      <w:r>
        <w:rPr>
          <w:rFonts w:ascii="仿宋_GB2312" w:hAnsi="仿宋" w:eastAsia="仿宋_GB2312"/>
          <w:sz w:val="32"/>
          <w:szCs w:val="32"/>
          <w:highlight w:val="none"/>
        </w:rPr>
        <w:t>1.</w:t>
      </w:r>
      <w:r>
        <w:rPr>
          <w:rFonts w:hint="eastAsia" w:ascii="仿宋_GB2312" w:hAnsi="仿宋" w:eastAsia="仿宋_GB2312"/>
          <w:sz w:val="32"/>
          <w:szCs w:val="32"/>
          <w:highlight w:val="none"/>
          <w:lang w:val="en-US" w:eastAsia="zh-CN"/>
        </w:rPr>
        <w:t>网络安全设备的路由、策略、各种外线接入等数据维护服务。</w:t>
      </w:r>
    </w:p>
    <w:p>
      <w:pPr>
        <w:ind w:firstLine="640" w:firstLineChars="200"/>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对安全设备检测到的网络安全隐患、事件进行安全服务的支持和巡检</w:t>
      </w:r>
    </w:p>
    <w:p>
      <w:pPr>
        <w:ind w:firstLine="640" w:firstLineChars="200"/>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3</w:t>
      </w:r>
      <w:r>
        <w:rPr>
          <w:rFonts w:ascii="仿宋_GB2312" w:hAnsi="仿宋" w:eastAsia="仿宋_GB2312"/>
          <w:sz w:val="32"/>
          <w:szCs w:val="32"/>
          <w:highlight w:val="none"/>
        </w:rPr>
        <w:t>.</w:t>
      </w:r>
      <w:r>
        <w:rPr>
          <w:rFonts w:hint="eastAsia" w:ascii="仿宋_GB2312" w:hAnsi="仿宋" w:eastAsia="仿宋_GB2312"/>
          <w:sz w:val="32"/>
          <w:szCs w:val="32"/>
          <w:highlight w:val="none"/>
        </w:rPr>
        <w:t>对已过保的安全设备硬件提供</w:t>
      </w:r>
      <w:r>
        <w:rPr>
          <w:rFonts w:hint="eastAsia" w:ascii="仿宋_GB2312" w:hAnsi="仿宋" w:eastAsia="仿宋_GB2312"/>
          <w:sz w:val="32"/>
          <w:szCs w:val="32"/>
          <w:highlight w:val="none"/>
          <w:lang w:val="en-US" w:eastAsia="zh-CN"/>
        </w:rPr>
        <w:t>原厂技术支持，如有设备损坏，协助院方维修或自购该设备，服务方先提供备件使用。</w:t>
      </w:r>
    </w:p>
    <w:p>
      <w:pPr>
        <w:ind w:firstLine="640" w:firstLineChars="200"/>
        <w:jc w:val="left"/>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我院现有网络安全设备列表：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1605"/>
        <w:gridCol w:w="1980"/>
        <w:gridCol w:w="2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序号</w:t>
            </w:r>
          </w:p>
        </w:tc>
        <w:tc>
          <w:tcPr>
            <w:tcW w:w="1605" w:type="dxa"/>
          </w:tcPr>
          <w:p>
            <w:pPr>
              <w:adjustRightInd w:val="0"/>
              <w:snapToGrid w:val="0"/>
              <w:spacing w:line="360" w:lineRule="auto"/>
              <w:jc w:val="center"/>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产品类</w:t>
            </w:r>
            <w:r>
              <w:rPr>
                <w:rFonts w:hint="eastAsia" w:asciiTheme="minorEastAsia" w:hAnsiTheme="minorEastAsia" w:cstheme="minorEastAsia"/>
                <w:sz w:val="21"/>
                <w:szCs w:val="21"/>
                <w:vertAlign w:val="baseline"/>
                <w:lang w:val="en-US" w:eastAsia="zh-CN"/>
              </w:rPr>
              <w:t>别</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院内设备命名</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产品名称及规格型号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4</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防火墙</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出口防火墙</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USG6660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5</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防火墙</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数据中心防火墙</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USG6660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6</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防火墙</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管理区域防火墙</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USG6660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7</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防火墙</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DMZ区域防火墙</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UGS6525E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8</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入侵防御系统 (IPS)</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出口区域入侵防御</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NIP6660E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9</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入侵防御系统 (IPS)</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数据中心入侵防御</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NIP6660E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10</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网络安全审计产品</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上网行为管理</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ASG5530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11</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安全数据库系统</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数据库审计</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DAS-1500V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12</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日志分析产品</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日志审计</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明御综合日志审计分析平台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13</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网络脆弱性扫描产品</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漏洞扫描</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VSCAN1506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14</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网络安全态势感知产品</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态势感知</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HiSec-Insight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15</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运维安全管理产品</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堡垒机</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UMA1500V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16</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信息系统安全管理平台</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网管平平台</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eSightV100R30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17</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抗拒绝服务攻击产品</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DDOS</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DDOS8080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18</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终端接入控制产品</w:t>
            </w: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准入设备</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Agile_Controller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19</w:t>
            </w:r>
          </w:p>
        </w:tc>
        <w:tc>
          <w:tcPr>
            <w:tcW w:w="1605"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p>
        </w:tc>
        <w:tc>
          <w:tcPr>
            <w:tcW w:w="1980"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沙箱</w:t>
            </w:r>
          </w:p>
        </w:tc>
        <w:tc>
          <w:tcPr>
            <w:tcW w:w="2261" w:type="dxa"/>
          </w:tcPr>
          <w:p>
            <w:pPr>
              <w:adjustRightInd w:val="0"/>
              <w:snapToGrid w:val="0"/>
              <w:spacing w:line="360" w:lineRule="auto"/>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FireHunter_6300</w:t>
            </w:r>
          </w:p>
        </w:tc>
      </w:tr>
    </w:tbl>
    <w:p>
      <w:pPr>
        <w:ind w:firstLine="640" w:firstLineChars="200"/>
        <w:rPr>
          <w:rFonts w:hint="default" w:ascii="仿宋_GB2312" w:hAnsi="仿宋" w:eastAsia="仿宋_GB2312"/>
          <w:sz w:val="32"/>
          <w:szCs w:val="32"/>
          <w:highlight w:val="yellow"/>
          <w:lang w:val="en-US" w:eastAsia="zh-CN"/>
        </w:rPr>
      </w:pPr>
    </w:p>
    <w:p>
      <w:pPr>
        <w:ind w:firstLine="640" w:firstLineChars="200"/>
        <w:rPr>
          <w:rFonts w:ascii="黑体" w:hAnsi="黑体" w:eastAsia="黑体"/>
          <w:sz w:val="32"/>
          <w:szCs w:val="32"/>
        </w:rPr>
      </w:pPr>
      <w:r>
        <w:rPr>
          <w:rFonts w:ascii="黑体" w:hAnsi="黑体" w:eastAsia="黑体"/>
          <w:sz w:val="32"/>
          <w:szCs w:val="32"/>
        </w:rPr>
        <w:t>四</w:t>
      </w:r>
      <w:r>
        <w:rPr>
          <w:rFonts w:hint="eastAsia" w:ascii="黑体" w:hAnsi="黑体" w:eastAsia="黑体"/>
          <w:sz w:val="32"/>
          <w:szCs w:val="32"/>
        </w:rPr>
        <w:t>、服务要求</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服务的质量，需对核心设备设备进行如下维保服务，保障平台安全、稳定运行，维保服务内容主要包括.</w:t>
      </w:r>
      <w:bookmarkStart w:id="0" w:name="_Toc399224757"/>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1.提供客户经理对接服务，提供7×24小时电话技术支持；对问题和投诉在1小时内给予回应；不能通过远程解决的问题需安排技术工程师</w:t>
      </w:r>
      <w:r>
        <w:rPr>
          <w:rFonts w:hint="eastAsia" w:ascii="仿宋_GB2312" w:eastAsia="仿宋_GB2312" w:hAnsiTheme="minorEastAsia"/>
          <w:sz w:val="32"/>
          <w:szCs w:val="32"/>
          <w:lang w:val="en-US" w:eastAsia="zh-CN"/>
        </w:rPr>
        <w:t>2小时</w:t>
      </w:r>
      <w:r>
        <w:rPr>
          <w:rFonts w:hint="eastAsia" w:ascii="仿宋_GB2312" w:eastAsia="仿宋_GB2312" w:hAnsiTheme="minorEastAsia"/>
          <w:sz w:val="32"/>
          <w:szCs w:val="32"/>
        </w:rPr>
        <w:t xml:space="preserve">内到达故障现场； </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2.提供技术服务团队，为用户设备正常运行提供技术支持；</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3.提供备件先行更换服务，设备故障时，免费进行备件更换服务；</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4.针对维保设备提供设备主机软件更新服务；</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5.提供固定巡检服务，并提供巡检服务总结报告；</w:t>
      </w:r>
      <w:bookmarkEnd w:id="0"/>
    </w:p>
    <w:p>
      <w:pPr>
        <w:pStyle w:val="2"/>
        <w:rPr>
          <w:rFonts w:asciiTheme="minorEastAsia" w:hAnsiTheme="minorEastAsia" w:eastAsiaTheme="minorEastAsia"/>
          <w:szCs w:val="28"/>
        </w:rPr>
      </w:pPr>
      <w:r>
        <w:rPr>
          <w:rFonts w:hint="eastAsia" w:ascii="黑体" w:hAnsi="黑体" w:eastAsia="黑体"/>
        </w:rPr>
        <w:t>五、</w:t>
      </w:r>
      <w:r>
        <w:rPr>
          <w:rFonts w:hint="eastAsia" w:asciiTheme="minorEastAsia" w:hAnsiTheme="minorEastAsia" w:eastAsiaTheme="minorEastAsia"/>
          <w:szCs w:val="28"/>
        </w:rPr>
        <w:t>服务方案</w:t>
      </w:r>
    </w:p>
    <w:p>
      <w:pPr>
        <w:adjustRightInd w:val="0"/>
        <w:snapToGrid w:val="0"/>
        <w:spacing w:line="360" w:lineRule="auto"/>
        <w:ind w:firstLine="643" w:firstLineChars="200"/>
        <w:rPr>
          <w:rFonts w:hint="eastAsia" w:ascii="仿宋_GB2312" w:eastAsia="仿宋_GB2312" w:hAnsiTheme="minorEastAsia"/>
          <w:sz w:val="32"/>
          <w:szCs w:val="32"/>
        </w:rPr>
      </w:pPr>
      <w:r>
        <w:rPr>
          <w:rFonts w:hint="eastAsia" w:ascii="仿宋_GB2312" w:eastAsia="仿宋_GB2312" w:hAnsiTheme="minorEastAsia"/>
          <w:b/>
          <w:sz w:val="32"/>
          <w:szCs w:val="32"/>
        </w:rPr>
        <w:t>客户服务经理：</w:t>
      </w:r>
      <w:r>
        <w:rPr>
          <w:rFonts w:hint="eastAsia" w:ascii="仿宋_GB2312" w:eastAsia="仿宋_GB2312" w:hAnsiTheme="minorEastAsia"/>
          <w:sz w:val="32"/>
          <w:szCs w:val="32"/>
        </w:rPr>
        <w:t>购买维保服务后，需指定一位专家为客户对应的客户服务经理，负责客户的日常问题处理和答疑，在接到客户的服务请求后15分钟内给与响应。</w:t>
      </w:r>
    </w:p>
    <w:p>
      <w:pPr>
        <w:adjustRightInd w:val="0"/>
        <w:snapToGrid w:val="0"/>
        <w:spacing w:line="360" w:lineRule="auto"/>
        <w:ind w:firstLine="643" w:firstLineChars="200"/>
        <w:rPr>
          <w:rFonts w:hint="eastAsia" w:ascii="仿宋_GB2312" w:eastAsia="仿宋_GB2312" w:hAnsiTheme="minorEastAsia"/>
          <w:sz w:val="32"/>
          <w:szCs w:val="32"/>
        </w:rPr>
      </w:pPr>
      <w:r>
        <w:rPr>
          <w:rFonts w:hint="eastAsia" w:ascii="仿宋_GB2312" w:eastAsia="仿宋_GB2312" w:hAnsiTheme="minorEastAsia"/>
          <w:b/>
          <w:sz w:val="32"/>
          <w:szCs w:val="32"/>
        </w:rPr>
        <w:t>咨询服务：</w:t>
      </w:r>
      <w:r>
        <w:rPr>
          <w:rFonts w:hint="eastAsia" w:ascii="仿宋_GB2312" w:eastAsia="仿宋_GB2312" w:hAnsiTheme="minorEastAsia"/>
          <w:sz w:val="32"/>
          <w:szCs w:val="32"/>
        </w:rPr>
        <w:t>维保期间，如客户对系统结构、系统设备的使用或配置有任何疑问，可提供免费咨询服务；</w:t>
      </w:r>
    </w:p>
    <w:p>
      <w:pPr>
        <w:pStyle w:val="14"/>
        <w:ind w:firstLine="643" w:firstLineChars="200"/>
        <w:rPr>
          <w:rFonts w:hint="eastAsia" w:ascii="仿宋_GB2312" w:eastAsia="仿宋_GB2312" w:cs="宋体" w:hAnsiTheme="minorEastAsia"/>
          <w:bCs/>
          <w:sz w:val="32"/>
          <w:szCs w:val="32"/>
        </w:rPr>
      </w:pPr>
      <w:r>
        <w:rPr>
          <w:rFonts w:hint="eastAsia" w:ascii="仿宋_GB2312" w:eastAsia="仿宋_GB2312" w:cs="宋体" w:hAnsiTheme="minorEastAsia"/>
          <w:b/>
          <w:bCs/>
          <w:sz w:val="32"/>
          <w:szCs w:val="32"/>
        </w:rPr>
        <w:t>在线支持服务：</w:t>
      </w:r>
      <w:r>
        <w:rPr>
          <w:rFonts w:hint="eastAsia" w:ascii="仿宋_GB2312" w:eastAsia="仿宋_GB2312" w:cs="宋体" w:hAnsiTheme="minorEastAsia"/>
          <w:bCs/>
          <w:sz w:val="32"/>
          <w:szCs w:val="32"/>
        </w:rPr>
        <w:t>在本服务范围内客户可以获得我司在线支持服务，包括但不限于QQ、微信、邮件、桌面远程等方式。</w:t>
      </w:r>
    </w:p>
    <w:p>
      <w:pPr>
        <w:adjustRightInd w:val="0"/>
        <w:snapToGrid w:val="0"/>
        <w:spacing w:line="360" w:lineRule="auto"/>
        <w:ind w:firstLine="643" w:firstLineChars="200"/>
        <w:rPr>
          <w:rFonts w:hint="eastAsia" w:ascii="仿宋_GB2312" w:eastAsia="仿宋_GB2312" w:cs="宋体" w:hAnsiTheme="minorEastAsia"/>
          <w:sz w:val="32"/>
          <w:szCs w:val="32"/>
        </w:rPr>
      </w:pPr>
      <w:r>
        <w:rPr>
          <w:rFonts w:hint="eastAsia" w:ascii="仿宋_GB2312" w:eastAsia="仿宋_GB2312" w:cs="宋体" w:hAnsiTheme="minorEastAsia"/>
          <w:b/>
          <w:sz w:val="32"/>
          <w:szCs w:val="32"/>
        </w:rPr>
        <w:t>硬件备件先行：</w:t>
      </w:r>
      <w:r>
        <w:rPr>
          <w:rFonts w:hint="eastAsia" w:ascii="仿宋_GB2312" w:eastAsia="仿宋_GB2312" w:cs="宋体" w:hAnsiTheme="minorEastAsia"/>
          <w:sz w:val="32"/>
          <w:szCs w:val="32"/>
        </w:rPr>
        <w:t>客户购买的产品因自身硬件问题出现故障，为保证客户业务的正常运行，备件的发出先于故障件返回的措施，在好件替换了坏件后，才需将坏件寄回公司。</w:t>
      </w:r>
    </w:p>
    <w:p>
      <w:pPr>
        <w:pStyle w:val="14"/>
        <w:snapToGrid w:val="0"/>
        <w:ind w:firstLine="643" w:firstLineChars="200"/>
        <w:rPr>
          <w:rFonts w:hint="eastAsia" w:ascii="仿宋_GB2312" w:eastAsia="仿宋_GB2312" w:cs="宋体" w:hAnsiTheme="minorEastAsia"/>
          <w:bCs/>
          <w:sz w:val="32"/>
          <w:szCs w:val="32"/>
        </w:rPr>
      </w:pPr>
      <w:r>
        <w:rPr>
          <w:rFonts w:hint="eastAsia" w:ascii="仿宋_GB2312" w:eastAsia="仿宋_GB2312" w:cs="宋体" w:hAnsiTheme="minorEastAsia"/>
          <w:b/>
          <w:bCs/>
          <w:sz w:val="32"/>
          <w:szCs w:val="32"/>
        </w:rPr>
        <w:t>现场人员支持：</w:t>
      </w:r>
      <w:r>
        <w:rPr>
          <w:rFonts w:hint="eastAsia" w:ascii="仿宋_GB2312" w:eastAsia="仿宋_GB2312" w:cs="宋体" w:hAnsiTheme="minorEastAsia"/>
          <w:bCs/>
          <w:sz w:val="32"/>
          <w:szCs w:val="32"/>
        </w:rPr>
        <w:t>当故障不能使用有效的远程支持方式进行解决时，我司将派遣工程师赶往用户现场，协助进行现场故障诊断及现场故障排除。</w:t>
      </w:r>
    </w:p>
    <w:p>
      <w:pPr>
        <w:adjustRightInd w:val="0"/>
        <w:snapToGrid w:val="0"/>
        <w:spacing w:line="360" w:lineRule="auto"/>
        <w:ind w:firstLine="643" w:firstLineChars="200"/>
        <w:rPr>
          <w:rFonts w:hint="eastAsia" w:ascii="仿宋_GB2312" w:eastAsia="仿宋_GB2312" w:cs="宋体" w:hAnsiTheme="minorEastAsia"/>
          <w:sz w:val="32"/>
          <w:szCs w:val="32"/>
        </w:rPr>
      </w:pPr>
      <w:r>
        <w:rPr>
          <w:rFonts w:hint="eastAsia" w:ascii="仿宋_GB2312" w:eastAsia="仿宋_GB2312" w:cs="宋体" w:hAnsiTheme="minorEastAsia"/>
          <w:b/>
          <w:sz w:val="32"/>
          <w:szCs w:val="32"/>
        </w:rPr>
        <w:t>预防性设备巡检服务：</w:t>
      </w:r>
      <w:r>
        <w:rPr>
          <w:rFonts w:hint="eastAsia" w:ascii="仿宋_GB2312" w:eastAsia="仿宋_GB2312" w:cs="宋体" w:hAnsiTheme="minorEastAsia"/>
          <w:sz w:val="32"/>
          <w:szCs w:val="32"/>
        </w:rPr>
        <w:t>每年为客户提供专业工具配套的预防性设备巡检服务，针对购买维保的设备进行全方位检测，并出具高级巡检报告，内包含对应的优化方案。</w:t>
      </w:r>
    </w:p>
    <w:p>
      <w:pPr>
        <w:ind w:firstLine="643" w:firstLineChars="200"/>
        <w:rPr>
          <w:rFonts w:hint="eastAsia" w:ascii="仿宋_GB2312" w:hAnsi="黑体" w:eastAsia="仿宋_GB2312"/>
          <w:sz w:val="32"/>
          <w:szCs w:val="32"/>
        </w:rPr>
      </w:pPr>
      <w:r>
        <w:rPr>
          <w:rFonts w:hint="eastAsia" w:ascii="仿宋_GB2312" w:eastAsia="仿宋_GB2312" w:hAnsiTheme="minorEastAsia"/>
          <w:b/>
          <w:sz w:val="32"/>
          <w:szCs w:val="32"/>
        </w:rPr>
        <w:t>重大割接咨询：</w:t>
      </w:r>
      <w:r>
        <w:rPr>
          <w:rFonts w:hint="eastAsia" w:ascii="仿宋_GB2312" w:eastAsia="仿宋_GB2312" w:hAnsiTheme="minorEastAsia"/>
          <w:sz w:val="32"/>
          <w:szCs w:val="32"/>
        </w:rPr>
        <w:t>维保期内，出现新系统上线、系统割接、设备扩容、移机、机房调整等重大系统变更，可为客户提供网络部分的咨询服务，在割接方案的制定上给出专业建议。</w:t>
      </w:r>
    </w:p>
    <w:p>
      <w:pPr>
        <w:ind w:firstLine="640" w:firstLineChars="200"/>
        <w:rPr>
          <w:rFonts w:ascii="黑体" w:hAnsi="黑体" w:eastAsia="黑体"/>
          <w:sz w:val="32"/>
          <w:szCs w:val="32"/>
        </w:rPr>
      </w:pPr>
      <w:r>
        <w:rPr>
          <w:rFonts w:hint="eastAsia" w:ascii="黑体" w:hAnsi="黑体" w:eastAsia="黑体"/>
          <w:sz w:val="32"/>
          <w:szCs w:val="32"/>
        </w:rPr>
        <w:t>六、售后服务</w:t>
      </w:r>
    </w:p>
    <w:p>
      <w:pPr>
        <w:pStyle w:val="3"/>
        <w:spacing w:before="0" w:after="0" w:line="415" w:lineRule="auto"/>
        <w:ind w:firstLine="643" w:firstLineChars="200"/>
        <w:rPr>
          <w:rFonts w:hint="eastAsia" w:ascii="仿宋_GB2312" w:eastAsia="仿宋_GB2312" w:hAnsiTheme="minorEastAsia"/>
          <w:sz w:val="32"/>
        </w:rPr>
      </w:pPr>
      <w:bookmarkStart w:id="1" w:name="_Toc78464722"/>
      <w:r>
        <w:rPr>
          <w:rFonts w:hint="eastAsia" w:ascii="仿宋_GB2312" w:eastAsia="仿宋_GB2312" w:hAnsiTheme="minorEastAsia"/>
          <w:sz w:val="32"/>
        </w:rPr>
        <w:t>（一）售后技术</w:t>
      </w:r>
      <w:bookmarkEnd w:id="1"/>
    </w:p>
    <w:p>
      <w:pPr>
        <w:pStyle w:val="13"/>
        <w:spacing w:beforeLines="0" w:afterLines="0"/>
        <w:ind w:firstLine="640"/>
        <w:rPr>
          <w:rFonts w:hint="eastAsia" w:ascii="仿宋_GB2312" w:eastAsia="仿宋_GB2312" w:hAnsiTheme="minorEastAsia"/>
          <w:sz w:val="32"/>
          <w:szCs w:val="32"/>
        </w:rPr>
      </w:pPr>
      <w:r>
        <w:rPr>
          <w:rFonts w:hint="eastAsia" w:ascii="仿宋_GB2312" w:eastAsia="仿宋_GB2312" w:hAnsiTheme="minorEastAsia"/>
          <w:sz w:val="32"/>
          <w:szCs w:val="32"/>
        </w:rPr>
        <w:t>需在本地能够有足够人数的常驻技术服务团队，能提供本地化、专业化的IT硬件设备维护和技术支持服务。</w:t>
      </w:r>
    </w:p>
    <w:p>
      <w:pPr>
        <w:pStyle w:val="3"/>
        <w:spacing w:before="0" w:after="0" w:line="415" w:lineRule="auto"/>
        <w:ind w:firstLine="643" w:firstLineChars="200"/>
        <w:rPr>
          <w:rFonts w:hint="eastAsia" w:ascii="仿宋_GB2312" w:eastAsia="仿宋_GB2312" w:hAnsiTheme="minorEastAsia"/>
          <w:sz w:val="32"/>
        </w:rPr>
      </w:pPr>
      <w:bookmarkStart w:id="2" w:name="_Toc78464723"/>
      <w:r>
        <w:rPr>
          <w:rFonts w:hint="eastAsia" w:ascii="仿宋_GB2312" w:eastAsia="仿宋_GB2312" w:hAnsiTheme="minorEastAsia"/>
          <w:sz w:val="32"/>
        </w:rPr>
        <w:t>（二）服务内容</w:t>
      </w:r>
      <w:bookmarkEnd w:id="2"/>
    </w:p>
    <w:p>
      <w:pPr>
        <w:spacing w:line="360" w:lineRule="auto"/>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1</w:t>
      </w:r>
      <w:r>
        <w:rPr>
          <w:rFonts w:ascii="仿宋_GB2312" w:eastAsia="仿宋_GB2312" w:hAnsiTheme="minorEastAsia"/>
          <w:sz w:val="32"/>
          <w:szCs w:val="32"/>
        </w:rPr>
        <w:t>.</w:t>
      </w:r>
      <w:r>
        <w:rPr>
          <w:rFonts w:hint="eastAsia" w:ascii="仿宋_GB2312" w:eastAsia="仿宋_GB2312" w:hAnsiTheme="minorEastAsia"/>
          <w:sz w:val="32"/>
          <w:szCs w:val="32"/>
        </w:rPr>
        <w:t>对网络系统定期的维护巡检，并进行配置优化，保障设备的安全稳定运行，提供备件服务。</w:t>
      </w:r>
    </w:p>
    <w:p>
      <w:pPr>
        <w:spacing w:line="360" w:lineRule="auto"/>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2</w:t>
      </w:r>
      <w:r>
        <w:rPr>
          <w:rFonts w:ascii="仿宋_GB2312" w:eastAsia="仿宋_GB2312" w:hAnsiTheme="minorEastAsia"/>
          <w:sz w:val="32"/>
          <w:szCs w:val="32"/>
        </w:rPr>
        <w:t>.</w:t>
      </w:r>
      <w:r>
        <w:rPr>
          <w:rFonts w:hint="eastAsia" w:ascii="仿宋_GB2312" w:eastAsia="仿宋_GB2312" w:hAnsiTheme="minorEastAsia"/>
          <w:sz w:val="32"/>
          <w:szCs w:val="32"/>
        </w:rPr>
        <w:t>维护期内定期对网络系统进行例行维修保养检查，发现故障问题及时排除。并出具检查报告给用户；维护期结束提供维护服务报表。</w:t>
      </w:r>
    </w:p>
    <w:p>
      <w:pPr>
        <w:spacing w:line="360" w:lineRule="auto"/>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3</w:t>
      </w:r>
      <w:r>
        <w:rPr>
          <w:rFonts w:ascii="仿宋_GB2312" w:eastAsia="仿宋_GB2312" w:hAnsiTheme="minorEastAsia"/>
          <w:sz w:val="32"/>
          <w:szCs w:val="32"/>
        </w:rPr>
        <w:t>.</w:t>
      </w:r>
      <w:r>
        <w:rPr>
          <w:rFonts w:hint="eastAsia" w:ascii="仿宋_GB2312" w:eastAsia="仿宋_GB2312" w:hAnsiTheme="minorEastAsia"/>
          <w:sz w:val="32"/>
          <w:szCs w:val="32"/>
        </w:rPr>
        <w:t>对维保设备提供技术支持。免费为用户提供设备的使用、维护等技术培训。</w:t>
      </w:r>
    </w:p>
    <w:p>
      <w:pPr>
        <w:spacing w:line="360" w:lineRule="auto"/>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4</w:t>
      </w:r>
      <w:r>
        <w:rPr>
          <w:rFonts w:ascii="仿宋_GB2312" w:eastAsia="仿宋_GB2312" w:hAnsiTheme="minorEastAsia"/>
          <w:sz w:val="32"/>
          <w:szCs w:val="32"/>
        </w:rPr>
        <w:t>.</w:t>
      </w:r>
      <w:r>
        <w:rPr>
          <w:rFonts w:hint="eastAsia" w:ascii="仿宋_GB2312" w:eastAsia="仿宋_GB2312" w:hAnsiTheme="minorEastAsia"/>
          <w:sz w:val="32"/>
          <w:szCs w:val="32"/>
        </w:rPr>
        <w:t>提供项目维保设备及其配件的损坏上门更换和维修服务、更换服务，具有快速备件更换服务，提供备件先行服务以及现场更换备件服务</w:t>
      </w:r>
      <w:r>
        <w:rPr>
          <w:rFonts w:hint="eastAsia" w:ascii="仿宋_GB2312" w:eastAsia="仿宋_GB2312" w:hAnsiTheme="minorEastAsia"/>
          <w:sz w:val="32"/>
          <w:szCs w:val="32"/>
          <w:lang w:eastAsia="zh-CN"/>
        </w:rPr>
        <w:t>，</w:t>
      </w:r>
      <w:r>
        <w:rPr>
          <w:rFonts w:hint="eastAsia" w:ascii="仿宋_GB2312" w:hAnsi="仿宋" w:eastAsia="仿宋_GB2312"/>
          <w:sz w:val="32"/>
          <w:szCs w:val="32"/>
          <w:highlight w:val="none"/>
          <w:lang w:val="en-US" w:eastAsia="zh-CN"/>
        </w:rPr>
        <w:t>如有设备损坏，协助院方维修或自购该设备。</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5</w:t>
      </w:r>
      <w:r>
        <w:rPr>
          <w:rFonts w:ascii="仿宋_GB2312" w:eastAsia="仿宋_GB2312" w:hAnsiTheme="minorEastAsia"/>
          <w:sz w:val="32"/>
          <w:szCs w:val="32"/>
        </w:rPr>
        <w:t>.</w:t>
      </w:r>
      <w:r>
        <w:rPr>
          <w:rFonts w:hint="eastAsia" w:ascii="仿宋_GB2312" w:eastAsia="仿宋_GB2312" w:hAnsiTheme="minorEastAsia"/>
          <w:sz w:val="32"/>
          <w:szCs w:val="32"/>
        </w:rPr>
        <w:t>服务工程师做好工作技术文档提交用户存档（服务工作大纲内容、维保设备清单表、设备配置备份记录表等各项用户存档资料）。</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5760" w:firstLineChars="1800"/>
        <w:rPr>
          <w:rFonts w:ascii="仿宋" w:hAnsi="仿宋" w:eastAsia="仿宋"/>
          <w:sz w:val="32"/>
          <w:szCs w:val="32"/>
        </w:rPr>
      </w:pPr>
    </w:p>
    <w:sectPr>
      <w:pgSz w:w="11906" w:h="16838"/>
      <w:pgMar w:top="1440" w:right="1474"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3F9"/>
    <w:rsid w:val="00013B56"/>
    <w:rsid w:val="00024819"/>
    <w:rsid w:val="000468B8"/>
    <w:rsid w:val="00075FDC"/>
    <w:rsid w:val="000808FA"/>
    <w:rsid w:val="00085503"/>
    <w:rsid w:val="0009235B"/>
    <w:rsid w:val="000C010D"/>
    <w:rsid w:val="000D4005"/>
    <w:rsid w:val="000E1D36"/>
    <w:rsid w:val="000E2430"/>
    <w:rsid w:val="00135935"/>
    <w:rsid w:val="001771DC"/>
    <w:rsid w:val="001976CE"/>
    <w:rsid w:val="001A0FC4"/>
    <w:rsid w:val="001E6510"/>
    <w:rsid w:val="001F2E9D"/>
    <w:rsid w:val="001F2F01"/>
    <w:rsid w:val="001F6E27"/>
    <w:rsid w:val="00225BF4"/>
    <w:rsid w:val="0023159B"/>
    <w:rsid w:val="00280C57"/>
    <w:rsid w:val="002A0282"/>
    <w:rsid w:val="002D0B38"/>
    <w:rsid w:val="0031232E"/>
    <w:rsid w:val="003F7248"/>
    <w:rsid w:val="00411E76"/>
    <w:rsid w:val="00413861"/>
    <w:rsid w:val="00423ED7"/>
    <w:rsid w:val="004459DB"/>
    <w:rsid w:val="00482CC3"/>
    <w:rsid w:val="004B42AE"/>
    <w:rsid w:val="004C7F54"/>
    <w:rsid w:val="004E5B26"/>
    <w:rsid w:val="004F6D24"/>
    <w:rsid w:val="005B73F9"/>
    <w:rsid w:val="005F2572"/>
    <w:rsid w:val="005F40F7"/>
    <w:rsid w:val="00600D13"/>
    <w:rsid w:val="00613D58"/>
    <w:rsid w:val="00623BB3"/>
    <w:rsid w:val="00674A40"/>
    <w:rsid w:val="00674FD0"/>
    <w:rsid w:val="007644C5"/>
    <w:rsid w:val="00773BE9"/>
    <w:rsid w:val="007C3B57"/>
    <w:rsid w:val="007D3AE7"/>
    <w:rsid w:val="00820D2D"/>
    <w:rsid w:val="00820DD9"/>
    <w:rsid w:val="008272AA"/>
    <w:rsid w:val="008A0402"/>
    <w:rsid w:val="008A0469"/>
    <w:rsid w:val="008B4585"/>
    <w:rsid w:val="008B7574"/>
    <w:rsid w:val="008D4867"/>
    <w:rsid w:val="008E2EE0"/>
    <w:rsid w:val="00920356"/>
    <w:rsid w:val="00942BF6"/>
    <w:rsid w:val="009469AA"/>
    <w:rsid w:val="009760B6"/>
    <w:rsid w:val="00984617"/>
    <w:rsid w:val="009F547F"/>
    <w:rsid w:val="00A1706F"/>
    <w:rsid w:val="00A20818"/>
    <w:rsid w:val="00A72754"/>
    <w:rsid w:val="00A7508E"/>
    <w:rsid w:val="00AD3D67"/>
    <w:rsid w:val="00AE6DC3"/>
    <w:rsid w:val="00AE7BD0"/>
    <w:rsid w:val="00B06016"/>
    <w:rsid w:val="00B84EA5"/>
    <w:rsid w:val="00BB15EC"/>
    <w:rsid w:val="00BC5ECB"/>
    <w:rsid w:val="00BE12BC"/>
    <w:rsid w:val="00C338FB"/>
    <w:rsid w:val="00C34870"/>
    <w:rsid w:val="00C463EC"/>
    <w:rsid w:val="00C64AD6"/>
    <w:rsid w:val="00C816F5"/>
    <w:rsid w:val="00C83504"/>
    <w:rsid w:val="00CD1230"/>
    <w:rsid w:val="00CE4799"/>
    <w:rsid w:val="00CF0D08"/>
    <w:rsid w:val="00D14F9F"/>
    <w:rsid w:val="00D16598"/>
    <w:rsid w:val="00D23556"/>
    <w:rsid w:val="00D47726"/>
    <w:rsid w:val="00D515C2"/>
    <w:rsid w:val="00D7306C"/>
    <w:rsid w:val="00D80023"/>
    <w:rsid w:val="00D92898"/>
    <w:rsid w:val="00DB14C1"/>
    <w:rsid w:val="00E44B09"/>
    <w:rsid w:val="00E75768"/>
    <w:rsid w:val="00E82015"/>
    <w:rsid w:val="00E94994"/>
    <w:rsid w:val="00EC7ACD"/>
    <w:rsid w:val="00ED3C1C"/>
    <w:rsid w:val="00EF1307"/>
    <w:rsid w:val="00EF5179"/>
    <w:rsid w:val="00F10E5D"/>
    <w:rsid w:val="00F20D7B"/>
    <w:rsid w:val="00F3434E"/>
    <w:rsid w:val="00F403E7"/>
    <w:rsid w:val="00F65953"/>
    <w:rsid w:val="00FB2CE7"/>
    <w:rsid w:val="00FB5530"/>
    <w:rsid w:val="00FC3A4A"/>
    <w:rsid w:val="00FC3F09"/>
    <w:rsid w:val="073440D0"/>
    <w:rsid w:val="094F23F5"/>
    <w:rsid w:val="175403AB"/>
    <w:rsid w:val="1A382E3B"/>
    <w:rsid w:val="1BEA432A"/>
    <w:rsid w:val="2A347FD6"/>
    <w:rsid w:val="3703739C"/>
    <w:rsid w:val="37BA7889"/>
    <w:rsid w:val="38637A99"/>
    <w:rsid w:val="3B8601D6"/>
    <w:rsid w:val="40810CE6"/>
    <w:rsid w:val="445B7822"/>
    <w:rsid w:val="482269CA"/>
    <w:rsid w:val="4A175712"/>
    <w:rsid w:val="4C1E41AF"/>
    <w:rsid w:val="52A36401"/>
    <w:rsid w:val="54287826"/>
    <w:rsid w:val="54DB757B"/>
    <w:rsid w:val="56532A35"/>
    <w:rsid w:val="72275B07"/>
    <w:rsid w:val="74A95DDB"/>
    <w:rsid w:val="74C76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1"/>
    <w:unhideWhenUsed/>
    <w:qFormat/>
    <w:uiPriority w:val="0"/>
    <w:pPr>
      <w:keepNext/>
      <w:keepLines/>
      <w:spacing w:before="260" w:after="260" w:line="416" w:lineRule="auto"/>
      <w:outlineLvl w:val="2"/>
    </w:pPr>
    <w:rPr>
      <w:rFonts w:ascii="Times New Roman" w:hAnsi="Times New Roman" w:eastAsia="宋体" w:cs="Times New Roman"/>
      <w:b/>
      <w:bCs/>
      <w:sz w:val="24"/>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3 字符"/>
    <w:basedOn w:val="8"/>
    <w:link w:val="3"/>
    <w:qFormat/>
    <w:uiPriority w:val="0"/>
    <w:rPr>
      <w:rFonts w:ascii="Times New Roman" w:hAnsi="Times New Roman" w:eastAsia="宋体" w:cs="Times New Roman"/>
      <w:b/>
      <w:bCs/>
      <w:kern w:val="2"/>
      <w:sz w:val="24"/>
      <w:szCs w:val="32"/>
    </w:rPr>
  </w:style>
  <w:style w:type="character" w:customStyle="1" w:styleId="12">
    <w:name w:val="标题 2 字符"/>
    <w:basedOn w:val="8"/>
    <w:link w:val="2"/>
    <w:semiHidden/>
    <w:qFormat/>
    <w:uiPriority w:val="9"/>
    <w:rPr>
      <w:rFonts w:asciiTheme="majorHAnsi" w:hAnsiTheme="majorHAnsi" w:eastAsiaTheme="majorEastAsia" w:cstheme="majorBidi"/>
      <w:b/>
      <w:bCs/>
      <w:kern w:val="2"/>
      <w:sz w:val="32"/>
      <w:szCs w:val="32"/>
    </w:rPr>
  </w:style>
  <w:style w:type="paragraph" w:customStyle="1" w:styleId="13">
    <w:name w:val="正文格式"/>
    <w:basedOn w:val="1"/>
    <w:qFormat/>
    <w:uiPriority w:val="0"/>
    <w:pPr>
      <w:spacing w:beforeLines="50" w:afterLines="50" w:line="360" w:lineRule="auto"/>
      <w:ind w:firstLine="420" w:firstLineChars="200"/>
      <w:jc w:val="left"/>
    </w:pPr>
    <w:rPr>
      <w:rFonts w:ascii="Times New Roman" w:hAnsi="Times New Roman" w:eastAsia="宋体" w:cs="Times New Roman"/>
      <w:szCs w:val="24"/>
    </w:rPr>
  </w:style>
  <w:style w:type="paragraph" w:customStyle="1" w:styleId="14">
    <w:name w:val="正文（首行不缩进）"/>
    <w:basedOn w:val="1"/>
    <w:qFormat/>
    <w:uiPriority w:val="99"/>
    <w:pPr>
      <w:autoSpaceDE w:val="0"/>
      <w:autoSpaceDN w:val="0"/>
      <w:adjustRightInd w:val="0"/>
      <w:spacing w:line="360" w:lineRule="auto"/>
      <w:jc w:val="left"/>
    </w:pPr>
    <w:rPr>
      <w:rFonts w:ascii="Times New Roman" w:hAnsi="Times New Roman" w:eastAsia="宋体" w:cs="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QBPC</Company>
  <Pages>7</Pages>
  <Words>2581</Words>
  <Characters>2831</Characters>
  <Lines>17</Lines>
  <Paragraphs>4</Paragraphs>
  <TotalTime>27</TotalTime>
  <ScaleCrop>false</ScaleCrop>
  <LinksUpToDate>false</LinksUpToDate>
  <CharactersWithSpaces>2835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2024-09-05T00:54:00Z</dcterms:created>
  <dc:creator>xb21cn</dc:creator>
  <cp:lastModifiedBy>宋文俊</cp:lastModifiedBy>
  <cp:lastPrinted>2024-11-12T07:44:00Z</cp:lastPrinted>
  <dcterms:modified xsi:type="dcterms:W3CDTF">2026-04-28T01:21:59Z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KSOTemplateDocerSaveRecord">
    <vt:lpwstr>eyJoZGlkIjoiMGIyMmVhOWJmYWQwMjE0NGFkNzBlMjQzMjAyNTdkZWEiLCJ1c2VySWQiOiIxODA1NjE2ODQzIn0=</vt:lpwstr>
  </property>
  <property fmtid="{D5CDD505-2E9C-101B-9397-08002B2CF9AE}" pid="4" name="ICV">
    <vt:lpwstr>057FEFF1767043B7966256A4CEFE1C02_12</vt:lpwstr>
  </property>
</Properties>
</file>