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D140E">
      <w:pPr>
        <w:wordWrap w:val="0"/>
        <w:jc w:val="center"/>
        <w:rPr>
          <w:rFonts w:ascii="宋体" w:hAnsi="宋体" w:cs="宋体"/>
          <w:b/>
          <w:bCs/>
          <w:sz w:val="30"/>
          <w:szCs w:val="30"/>
        </w:rPr>
      </w:pPr>
      <w:r>
        <w:rPr>
          <w:rFonts w:hint="eastAsia" w:ascii="宋体" w:hAnsi="宋体" w:cs="宋体"/>
          <w:b/>
          <w:sz w:val="30"/>
          <w:szCs w:val="30"/>
        </w:rPr>
        <w:t>采购项目技术规格、参数及要求</w:t>
      </w:r>
    </w:p>
    <w:p w14:paraId="5D8A7A75">
      <w:pPr>
        <w:wordWrap w:val="0"/>
        <w:spacing w:line="440" w:lineRule="exact"/>
        <w:jc w:val="left"/>
        <w:rPr>
          <w:rFonts w:ascii="宋体" w:hAnsi="宋体" w:cs="宋体"/>
          <w:sz w:val="18"/>
          <w:szCs w:val="18"/>
        </w:rPr>
      </w:pPr>
      <w:r>
        <w:rPr>
          <w:rFonts w:hint="eastAsia" w:ascii="宋体" w:hAnsi="宋体" w:cs="宋体"/>
          <w:b/>
          <w:bCs/>
          <w:sz w:val="18"/>
          <w:szCs w:val="18"/>
        </w:rPr>
        <w:t>说明</w:t>
      </w:r>
      <w:r>
        <w:rPr>
          <w:rFonts w:hint="eastAsia" w:ascii="宋体" w:hAnsi="宋体" w:cs="宋体"/>
          <w:sz w:val="18"/>
          <w:szCs w:val="18"/>
        </w:rPr>
        <w:t>：</w:t>
      </w:r>
    </w:p>
    <w:p w14:paraId="20E0D5D9">
      <w:pPr>
        <w:wordWrap w:val="0"/>
        <w:spacing w:line="440" w:lineRule="exact"/>
        <w:ind w:firstLine="363" w:firstLineChars="202"/>
        <w:jc w:val="left"/>
        <w:rPr>
          <w:rFonts w:ascii="宋体" w:hAnsi="宋体" w:cs="宋体"/>
          <w:sz w:val="18"/>
          <w:szCs w:val="18"/>
        </w:rPr>
      </w:pPr>
      <w:r>
        <w:rPr>
          <w:rFonts w:hint="eastAsia" w:ascii="宋体" w:hAnsi="宋体" w:cs="宋体"/>
          <w:sz w:val="18"/>
          <w:szCs w:val="18"/>
        </w:rPr>
        <w:t>1.“实质性要求”是指采购需求中带“▲”的条款或者不能负偏离的条款或者已经指明不满足</w:t>
      </w:r>
      <w:r>
        <w:rPr>
          <w:rFonts w:hint="eastAsia" w:ascii="宋体" w:hAnsi="宋体" w:cs="宋体"/>
          <w:b/>
          <w:bCs/>
          <w:sz w:val="18"/>
          <w:szCs w:val="18"/>
        </w:rPr>
        <w:t>按响应文件按无效处理的条款</w:t>
      </w:r>
      <w:r>
        <w:rPr>
          <w:rFonts w:hint="eastAsia" w:ascii="宋体" w:hAnsi="宋体" w:cs="宋体"/>
          <w:sz w:val="18"/>
          <w:szCs w:val="18"/>
        </w:rPr>
        <w:t>。</w:t>
      </w:r>
    </w:p>
    <w:p w14:paraId="22E110D3">
      <w:pPr>
        <w:wordWrap w:val="0"/>
        <w:spacing w:line="440" w:lineRule="exact"/>
        <w:ind w:firstLine="363" w:firstLineChars="202"/>
        <w:jc w:val="left"/>
        <w:rPr>
          <w:rFonts w:ascii="宋体" w:hAnsi="宋体" w:cs="宋体"/>
          <w:sz w:val="18"/>
          <w:szCs w:val="18"/>
        </w:rPr>
      </w:pPr>
      <w:r>
        <w:rPr>
          <w:rFonts w:hint="eastAsia" w:ascii="宋体" w:hAnsi="宋体" w:cs="宋体"/>
          <w:sz w:val="18"/>
          <w:szCs w:val="18"/>
        </w:rPr>
        <w:t>2.采购需求中出现的品牌、型号或者生产供应商仅起参考作用，不属于指定品牌、型号或者生产供应商的情形。供应商可参照或者选用其他相当的品牌、型号或者生产供应商替代。</w:t>
      </w:r>
    </w:p>
    <w:p w14:paraId="3319B33B">
      <w:pPr>
        <w:wordWrap w:val="0"/>
        <w:spacing w:line="440" w:lineRule="exact"/>
        <w:ind w:firstLine="363" w:firstLineChars="202"/>
        <w:jc w:val="left"/>
        <w:rPr>
          <w:rFonts w:ascii="宋体" w:hAnsi="宋体" w:cs="宋体"/>
          <w:sz w:val="18"/>
          <w:szCs w:val="18"/>
        </w:rPr>
      </w:pPr>
      <w:r>
        <w:rPr>
          <w:rFonts w:hint="eastAsia" w:ascii="宋体" w:hAnsi="宋体" w:cs="宋体"/>
          <w:sz w:val="18"/>
          <w:szCs w:val="18"/>
        </w:rPr>
        <w:t>3.供应商应根据自身实际情况如实响应磋商文件，对磋商文件提出的要求和条件作出明确响应，否则将作无效响应处理。对于重要技术条款或技术参数应当在响应文件中提供技术支持资料，技术支持资料以磋商文件中规定的形式为准，否则将视为无效技术支持资料。</w:t>
      </w:r>
    </w:p>
    <w:p w14:paraId="2DE445A2">
      <w:pPr>
        <w:wordWrap w:val="0"/>
        <w:spacing w:line="440" w:lineRule="exact"/>
        <w:ind w:firstLine="363" w:firstLineChars="202"/>
        <w:jc w:val="left"/>
        <w:rPr>
          <w:rFonts w:ascii="宋体" w:hAnsi="宋体" w:cs="宋体"/>
          <w:sz w:val="18"/>
          <w:szCs w:val="18"/>
        </w:rPr>
      </w:pPr>
      <w:r>
        <w:rPr>
          <w:rFonts w:hint="eastAsia" w:ascii="宋体" w:hAnsi="宋体" w:cs="宋体"/>
          <w:sz w:val="18"/>
          <w:szCs w:val="18"/>
        </w:rPr>
        <w:t>4.供应商必须自行为其竞标产品侵犯他人的知识产权或者专利成果的行为承担相应法律责任。</w:t>
      </w:r>
    </w:p>
    <w:p w14:paraId="053C88D1">
      <w:pPr>
        <w:wordWrap w:val="0"/>
        <w:spacing w:line="440" w:lineRule="exact"/>
        <w:ind w:firstLine="363" w:firstLineChars="202"/>
        <w:jc w:val="left"/>
        <w:rPr>
          <w:rFonts w:ascii="宋体" w:hAnsi="宋体" w:cs="宋体"/>
          <w:sz w:val="18"/>
          <w:szCs w:val="18"/>
        </w:rPr>
      </w:pPr>
      <w:r>
        <w:rPr>
          <w:rFonts w:hint="eastAsia" w:ascii="宋体" w:hAnsi="宋体" w:cs="宋体"/>
          <w:sz w:val="18"/>
          <w:szCs w:val="18"/>
        </w:rPr>
        <w:t>5.采购需求中标注</w:t>
      </w:r>
      <w:r>
        <w:rPr>
          <w:rFonts w:hint="eastAsia" w:ascii="宋体" w:hAnsi="宋体" w:cs="宋体"/>
          <w:b/>
          <w:bCs/>
          <w:sz w:val="18"/>
          <w:szCs w:val="18"/>
        </w:rPr>
        <w:t>“</w:t>
      </w:r>
      <w:r>
        <w:rPr>
          <w:rFonts w:hint="eastAsia" w:ascii="宋体" w:hAnsi="宋体" w:cs="宋体"/>
          <w:b/>
          <w:bCs/>
          <w:sz w:val="18"/>
          <w:szCs w:val="18"/>
          <w:lang w:val="zh-CN"/>
        </w:rPr>
        <w:t>※</w:t>
      </w:r>
      <w:r>
        <w:rPr>
          <w:rFonts w:hint="eastAsia" w:ascii="宋体" w:hAnsi="宋体" w:cs="宋体"/>
          <w:b/>
          <w:bCs/>
          <w:sz w:val="18"/>
          <w:szCs w:val="18"/>
        </w:rPr>
        <w:t>”</w:t>
      </w:r>
      <w:r>
        <w:rPr>
          <w:rFonts w:hint="eastAsia" w:ascii="宋体" w:hAnsi="宋体" w:cs="宋体"/>
          <w:sz w:val="18"/>
          <w:szCs w:val="18"/>
        </w:rPr>
        <w:t>项的技术要求为重要技术参数。</w:t>
      </w:r>
    </w:p>
    <w:p w14:paraId="7FD4A787">
      <w:pPr>
        <w:wordWrap/>
        <w:autoSpaceDE w:val="0"/>
        <w:autoSpaceDN w:val="0"/>
        <w:spacing w:before="83" w:after="0" w:line="376" w:lineRule="exact"/>
        <w:ind w:firstLine="180"/>
        <w:jc w:val="both"/>
        <w:rPr>
          <w:rFonts w:hint="default" w:ascii="宋体" w:hAnsi="宋体" w:eastAsia="宋体"/>
          <w:b/>
          <w:sz w:val="18"/>
          <w:szCs w:val="18"/>
          <w:lang w:val="en-US" w:eastAsia="zh-CN"/>
        </w:rPr>
      </w:pPr>
      <w:r>
        <w:rPr>
          <w:rFonts w:hint="eastAsia" w:ascii="宋体" w:hAnsi="宋体" w:cs="宋体"/>
          <w:b/>
          <w:bCs/>
          <w:sz w:val="18"/>
          <w:szCs w:val="18"/>
        </w:rPr>
        <w:t>6.</w:t>
      </w:r>
      <w:r>
        <w:rPr>
          <w:rFonts w:hint="eastAsia" w:ascii="宋体" w:hAnsi="宋体"/>
          <w:b/>
          <w:sz w:val="18"/>
          <w:szCs w:val="18"/>
        </w:rPr>
        <w:t xml:space="preserve"> </w:t>
      </w:r>
      <w:r>
        <w:rPr>
          <w:rFonts w:hint="eastAsia" w:ascii="宋体" w:hAnsi="宋体"/>
          <w:b/>
          <w:sz w:val="18"/>
          <w:szCs w:val="18"/>
          <w:lang w:val="en-US" w:eastAsia="zh-CN"/>
        </w:rPr>
        <w:t>设备名称：电子阴道镜。</w:t>
      </w:r>
      <w:r>
        <w:rPr>
          <w:rFonts w:hint="eastAsia" w:ascii="宋体" w:hAnsi="宋体" w:cs="宋体"/>
          <w:b/>
          <w:bCs/>
          <w:sz w:val="18"/>
          <w:szCs w:val="18"/>
        </w:rPr>
        <w:t>采购预算（元）：</w:t>
      </w:r>
      <w:r>
        <w:rPr>
          <w:rFonts w:hint="eastAsia" w:ascii="宋体" w:hAnsi="宋体" w:cs="宋体"/>
          <w:b/>
          <w:bCs/>
          <w:sz w:val="18"/>
          <w:szCs w:val="18"/>
          <w:lang w:val="en-US" w:eastAsia="zh-CN"/>
        </w:rPr>
        <w:t>65000</w:t>
      </w:r>
      <w:r>
        <w:rPr>
          <w:rFonts w:hint="eastAsia" w:ascii="宋体" w:hAnsi="宋体" w:cs="宋体"/>
          <w:b/>
          <w:bCs/>
          <w:sz w:val="18"/>
          <w:szCs w:val="18"/>
          <w:u w:val="single"/>
        </w:rPr>
        <w:t>.00</w:t>
      </w:r>
      <w:r>
        <w:rPr>
          <w:rFonts w:hint="eastAsia" w:ascii="宋体" w:hAnsi="宋体" w:cs="宋体"/>
          <w:b/>
          <w:bCs/>
          <w:sz w:val="18"/>
          <w:szCs w:val="18"/>
        </w:rPr>
        <w:t>。</w:t>
      </w:r>
    </w:p>
    <w:p w14:paraId="04610E3A">
      <w:pPr>
        <w:wordWrap/>
        <w:autoSpaceDE w:val="0"/>
        <w:autoSpaceDN w:val="0"/>
        <w:spacing w:before="83" w:after="0" w:line="376" w:lineRule="exact"/>
        <w:ind w:firstLine="180"/>
        <w:jc w:val="both"/>
        <w:rPr>
          <w:sz w:val="18"/>
          <w:szCs w:val="18"/>
        </w:rPr>
      </w:pPr>
      <w:r>
        <w:rPr>
          <w:rFonts w:hint="eastAsia" w:ascii="宋体" w:hAnsi="宋体"/>
          <w:b/>
          <w:sz w:val="18"/>
          <w:szCs w:val="18"/>
        </w:rPr>
        <w:t xml:space="preserve"> </w:t>
      </w:r>
      <w:r>
        <w:rPr>
          <w:rFonts w:hint="eastAsia" w:ascii="宋体" w:hAnsi="宋体" w:eastAsia="宋体"/>
          <w:color w:val="000000"/>
          <w:sz w:val="18"/>
          <w:szCs w:val="18"/>
        </w:rPr>
        <w:t>一、用途及适用人群</w:t>
      </w:r>
    </w:p>
    <w:p w14:paraId="67E9530A">
      <w:pPr>
        <w:wordWrap/>
        <w:autoSpaceDE w:val="0"/>
        <w:autoSpaceDN w:val="0"/>
        <w:spacing w:before="0" w:after="0" w:line="376" w:lineRule="exact"/>
        <w:ind w:right="100"/>
        <w:jc w:val="both"/>
        <w:rPr>
          <w:sz w:val="18"/>
          <w:szCs w:val="18"/>
        </w:rPr>
      </w:pPr>
      <w:r>
        <w:rPr>
          <w:rFonts w:hint="eastAsia" w:ascii="宋体" w:hAnsi="宋体" w:eastAsia="宋体"/>
          <w:color w:val="000000"/>
          <w:sz w:val="18"/>
          <w:szCs w:val="18"/>
        </w:rPr>
        <w:t>用途：将子宫颈、阴道和外阴的黏膜组织放大</w:t>
      </w:r>
      <w:r>
        <w:rPr>
          <w:rFonts w:hint="eastAsia" w:ascii="Calibri" w:hAnsi="Calibri" w:eastAsia="Calibri"/>
          <w:color w:val="000000"/>
          <w:sz w:val="18"/>
          <w:szCs w:val="18"/>
        </w:rPr>
        <w:t>10</w:t>
      </w:r>
      <w:r>
        <w:rPr>
          <w:rFonts w:hint="eastAsia" w:ascii="宋体" w:hAnsi="宋体" w:eastAsia="宋体"/>
          <w:color w:val="000000"/>
          <w:sz w:val="18"/>
          <w:szCs w:val="18"/>
        </w:rPr>
        <w:t>-</w:t>
      </w:r>
      <w:r>
        <w:rPr>
          <w:rFonts w:hint="eastAsia" w:ascii="Calibri" w:hAnsi="Calibri" w:eastAsia="Calibri"/>
          <w:color w:val="000000"/>
          <w:sz w:val="18"/>
          <w:szCs w:val="18"/>
        </w:rPr>
        <w:t>40</w:t>
      </w:r>
      <w:r>
        <w:rPr>
          <w:rFonts w:hint="eastAsia" w:ascii="宋体" w:hAnsi="宋体" w:eastAsia="宋体"/>
          <w:color w:val="000000"/>
          <w:sz w:val="18"/>
          <w:szCs w:val="18"/>
        </w:rPr>
        <w:t>倍，让医生能够非常清晰地观察到这些部位的表皮和血管的微小变化。帮助医生发现肉眼看不见的病变，并指导活检。</w:t>
      </w:r>
    </w:p>
    <w:p w14:paraId="06F58332">
      <w:pPr>
        <w:wordWrap/>
        <w:autoSpaceDE w:val="0"/>
        <w:autoSpaceDN w:val="0"/>
        <w:spacing w:before="0" w:after="0" w:line="376" w:lineRule="exact"/>
        <w:jc w:val="both"/>
        <w:rPr>
          <w:sz w:val="18"/>
          <w:szCs w:val="18"/>
        </w:rPr>
      </w:pPr>
      <w:r>
        <w:rPr>
          <w:rFonts w:hint="eastAsia" w:ascii="宋体" w:hAnsi="宋体" w:eastAsia="宋体"/>
          <w:color w:val="000000"/>
          <w:sz w:val="18"/>
          <w:szCs w:val="18"/>
        </w:rPr>
        <w:t>适用人群为：</w:t>
      </w:r>
      <w:r>
        <w:rPr>
          <w:rFonts w:hint="eastAsia" w:ascii="Calibri" w:hAnsi="Calibri" w:eastAsia="Calibri"/>
          <w:color w:val="000000"/>
          <w:sz w:val="18"/>
          <w:szCs w:val="18"/>
        </w:rPr>
        <w:t>18</w:t>
      </w:r>
      <w:r>
        <w:rPr>
          <w:rFonts w:hint="eastAsia" w:ascii="宋体" w:hAnsi="宋体" w:eastAsia="宋体"/>
          <w:color w:val="000000"/>
          <w:sz w:val="18"/>
          <w:szCs w:val="18"/>
        </w:rPr>
        <w:t>岁以上的妇女．</w:t>
      </w:r>
    </w:p>
    <w:p w14:paraId="764A4666">
      <w:pPr>
        <w:wordWrap/>
        <w:autoSpaceDE w:val="0"/>
        <w:autoSpaceDN w:val="0"/>
        <w:spacing w:before="0" w:after="0" w:line="376" w:lineRule="exact"/>
        <w:ind w:firstLine="180"/>
        <w:jc w:val="both"/>
        <w:rPr>
          <w:sz w:val="18"/>
          <w:szCs w:val="18"/>
        </w:rPr>
      </w:pPr>
      <w:r>
        <w:rPr>
          <w:rFonts w:hint="eastAsia" w:ascii="宋体" w:hAnsi="宋体" w:eastAsia="宋体"/>
          <w:color w:val="000000"/>
          <w:sz w:val="18"/>
          <w:szCs w:val="18"/>
        </w:rPr>
        <w:t>二、设备的功能要求</w:t>
      </w:r>
    </w:p>
    <w:p w14:paraId="04CA00E6">
      <w:pPr>
        <w:wordWrap/>
        <w:autoSpaceDE w:val="0"/>
        <w:autoSpaceDN w:val="0"/>
        <w:spacing w:before="0" w:after="0" w:line="376" w:lineRule="exact"/>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．成性能要求</w:t>
      </w:r>
    </w:p>
    <w:p w14:paraId="0B846728">
      <w:pPr>
        <w:autoSpaceDE w:val="0"/>
        <w:autoSpaceDN w:val="0"/>
        <w:spacing w:before="0" w:after="0" w:line="376" w:lineRule="exact"/>
        <w:ind w:right="14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）高清成像：支持全高清输出，≥</w:t>
      </w:r>
      <w:r>
        <w:rPr>
          <w:rFonts w:hint="eastAsia" w:ascii="Calibri" w:hAnsi="Calibri" w:eastAsia="Calibri"/>
          <w:color w:val="000000"/>
          <w:sz w:val="18"/>
          <w:szCs w:val="18"/>
        </w:rPr>
        <w:t>1920x1080p，</w:t>
      </w:r>
      <w:r>
        <w:rPr>
          <w:rFonts w:hint="eastAsia" w:ascii="宋体" w:hAnsi="宋体" w:eastAsia="宋体"/>
          <w:color w:val="000000"/>
          <w:sz w:val="18"/>
          <w:szCs w:val="18"/>
        </w:rPr>
        <w:t>水平分辨率</w:t>
      </w:r>
      <w:r>
        <w:rPr>
          <w:rFonts w:hint="eastAsia" w:ascii="Calibri" w:hAnsi="Calibri" w:eastAsia="Calibri"/>
          <w:color w:val="000000"/>
          <w:sz w:val="18"/>
          <w:szCs w:val="18"/>
        </w:rPr>
        <w:t>≥1000 TVL。</w:t>
      </w:r>
    </w:p>
    <w:p w14:paraId="2ADEC97E">
      <w:pPr>
        <w:wordWrap/>
        <w:autoSpaceDE w:val="0"/>
        <w:autoSpaceDN w:val="0"/>
        <w:spacing w:before="0" w:after="0" w:line="376" w:lineRule="exact"/>
        <w:ind w:right="16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2</w:t>
      </w:r>
      <w:r>
        <w:rPr>
          <w:rFonts w:hint="eastAsia" w:ascii="宋体" w:hAnsi="宋体" w:eastAsia="宋体"/>
          <w:color w:val="000000"/>
          <w:sz w:val="18"/>
          <w:szCs w:val="18"/>
        </w:rPr>
        <w:t>）放大倍数：光学放大</w:t>
      </w: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20</w:t>
      </w:r>
      <w:r>
        <w:rPr>
          <w:rFonts w:hint="eastAsia" w:ascii="宋体" w:hAnsi="宋体" w:eastAsia="宋体"/>
          <w:color w:val="000000"/>
          <w:sz w:val="18"/>
          <w:szCs w:val="18"/>
        </w:rPr>
        <w:t>倍，数字放大</w:t>
      </w: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12</w:t>
      </w:r>
      <w:r>
        <w:rPr>
          <w:rFonts w:hint="eastAsia" w:ascii="宋体" w:hAnsi="宋体" w:eastAsia="宋体"/>
          <w:color w:val="000000"/>
          <w:sz w:val="18"/>
          <w:szCs w:val="18"/>
        </w:rPr>
        <w:t>倍，总放大倍数可达</w:t>
      </w:r>
      <w:r>
        <w:rPr>
          <w:rFonts w:hint="eastAsia" w:ascii="Calibri" w:hAnsi="Calibri" w:eastAsia="Calibri"/>
          <w:color w:val="000000"/>
          <w:sz w:val="18"/>
          <w:szCs w:val="18"/>
        </w:rPr>
        <w:t>60</w:t>
      </w:r>
      <w:r>
        <w:rPr>
          <w:rFonts w:hint="eastAsia" w:ascii="宋体" w:hAnsi="宋体" w:eastAsia="宋体"/>
          <w:color w:val="000000"/>
          <w:sz w:val="18"/>
          <w:szCs w:val="18"/>
        </w:rPr>
        <w:t>倍以上，支持连续变焦。</w:t>
      </w:r>
    </w:p>
    <w:p w14:paraId="4C715845">
      <w:pPr>
        <w:wordWrap/>
        <w:autoSpaceDE w:val="0"/>
        <w:autoSpaceDN w:val="0"/>
        <w:spacing w:before="0" w:after="0" w:line="376" w:lineRule="exact"/>
        <w:ind w:right="18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）自动／手动聚焦：支持快速自动聚焦与手动微调，聚焦距离为</w:t>
      </w:r>
      <w:r>
        <w:rPr>
          <w:rFonts w:hint="eastAsia" w:ascii="Calibri" w:hAnsi="Calibri" w:eastAsia="Calibri"/>
          <w:color w:val="000000"/>
          <w:sz w:val="18"/>
          <w:szCs w:val="18"/>
        </w:rPr>
        <w:t>200</w:t>
      </w:r>
      <w:r>
        <w:rPr>
          <w:rFonts w:hint="eastAsia" w:ascii="宋体" w:hAnsi="宋体" w:eastAsia="宋体"/>
          <w:color w:val="000000"/>
          <w:sz w:val="18"/>
          <w:szCs w:val="18"/>
        </w:rPr>
        <w:t>-</w:t>
      </w:r>
      <w:r>
        <w:rPr>
          <w:rFonts w:hint="eastAsia" w:ascii="Calibri" w:hAnsi="Calibri" w:eastAsia="Calibri"/>
          <w:color w:val="000000"/>
          <w:sz w:val="18"/>
          <w:szCs w:val="18"/>
        </w:rPr>
        <w:t>400mm</w:t>
      </w:r>
      <w:r>
        <w:rPr>
          <w:rFonts w:hint="eastAsia" w:ascii="宋体" w:hAnsi="宋体" w:eastAsia="宋体"/>
          <w:color w:val="000000"/>
          <w:sz w:val="18"/>
          <w:szCs w:val="18"/>
        </w:rPr>
        <w:t>。</w:t>
      </w:r>
    </w:p>
    <w:p w14:paraId="6CFB36C3">
      <w:pPr>
        <w:autoSpaceDE w:val="0"/>
        <w:autoSpaceDN w:val="0"/>
        <w:spacing w:before="182" w:after="0" w:line="376" w:lineRule="exact"/>
        <w:ind w:right="18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5</w:t>
      </w:r>
      <w:r>
        <w:rPr>
          <w:rFonts w:hint="eastAsia" w:ascii="宋体" w:hAnsi="宋体" w:eastAsia="宋体"/>
          <w:color w:val="000000"/>
          <w:sz w:val="18"/>
          <w:szCs w:val="18"/>
        </w:rPr>
        <w:t>）图像失真与色彩还原：图像几何失真≤</w:t>
      </w:r>
      <w:r>
        <w:rPr>
          <w:rFonts w:hint="eastAsia" w:ascii="Calibri" w:hAnsi="Calibri" w:eastAsia="Calibri"/>
          <w:color w:val="000000"/>
          <w:sz w:val="18"/>
          <w:szCs w:val="18"/>
        </w:rPr>
        <w:t>3</w:t>
      </w:r>
      <w:r>
        <w:rPr>
          <w:rFonts w:hint="eastAsia" w:ascii="宋体" w:hAnsi="宋体" w:eastAsia="宋体"/>
          <w:color w:val="000000"/>
          <w:sz w:val="18"/>
          <w:szCs w:val="18"/>
        </w:rPr>
        <w:t>%，色彩还原误差平均≤</w:t>
      </w:r>
      <w:r>
        <w:rPr>
          <w:rFonts w:hint="eastAsia" w:ascii="Calibri" w:hAnsi="Calibri" w:eastAsia="Calibri"/>
          <w:color w:val="000000"/>
          <w:sz w:val="18"/>
          <w:szCs w:val="18"/>
        </w:rPr>
        <w:t>20NBS</w:t>
      </w:r>
      <w:r>
        <w:rPr>
          <w:rFonts w:hint="eastAsia" w:ascii="宋体" w:hAnsi="宋体" w:eastAsia="宋体"/>
          <w:color w:val="000000"/>
          <w:sz w:val="18"/>
          <w:szCs w:val="18"/>
        </w:rPr>
        <w:t>，色彩饱和度在</w:t>
      </w:r>
      <w:r>
        <w:rPr>
          <w:rFonts w:hint="eastAsia" w:ascii="Calibri" w:hAnsi="Calibri" w:eastAsia="Calibri"/>
          <w:color w:val="000000"/>
          <w:sz w:val="18"/>
          <w:szCs w:val="18"/>
        </w:rPr>
        <w:t>95%-120％</w:t>
      </w:r>
      <w:r>
        <w:rPr>
          <w:rFonts w:hint="eastAsia" w:ascii="宋体" w:hAnsi="宋体" w:eastAsia="宋体"/>
          <w:color w:val="000000"/>
          <w:sz w:val="18"/>
          <w:szCs w:val="18"/>
        </w:rPr>
        <w:t>之间</w:t>
      </w:r>
      <w:r>
        <w:rPr>
          <w:rFonts w:hint="eastAsia" w:ascii="Calibri" w:hAnsi="Calibri" w:eastAsia="Calibri"/>
          <w:color w:val="000000"/>
          <w:sz w:val="18"/>
          <w:szCs w:val="18"/>
        </w:rPr>
        <w:t>。</w:t>
      </w:r>
    </w:p>
    <w:p w14:paraId="129EB42C">
      <w:pPr>
        <w:wordWrap/>
        <w:autoSpaceDE w:val="0"/>
        <w:autoSpaceDN w:val="0"/>
        <w:spacing w:before="0" w:after="0" w:line="376" w:lineRule="exact"/>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．照明系统要求</w:t>
      </w:r>
    </w:p>
    <w:p w14:paraId="18EDB6A7">
      <w:pPr>
        <w:wordWrap/>
        <w:autoSpaceDE w:val="0"/>
        <w:autoSpaceDN w:val="0"/>
        <w:spacing w:before="83" w:after="0" w:line="376" w:lineRule="exact"/>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）光源类型：采用高亮度</w:t>
      </w:r>
      <w:r>
        <w:rPr>
          <w:rFonts w:hint="eastAsia" w:ascii="Calibri" w:hAnsi="Calibri" w:eastAsia="Calibri"/>
          <w:color w:val="000000"/>
          <w:sz w:val="18"/>
          <w:szCs w:val="18"/>
        </w:rPr>
        <w:t>LED</w:t>
      </w:r>
      <w:r>
        <w:rPr>
          <w:rFonts w:hint="eastAsia" w:ascii="宋体" w:hAnsi="宋体" w:eastAsia="宋体"/>
          <w:color w:val="000000"/>
          <w:sz w:val="18"/>
          <w:szCs w:val="18"/>
        </w:rPr>
        <w:t>冷光源，</w:t>
      </w:r>
    </w:p>
    <w:p w14:paraId="65F93A82">
      <w:pPr>
        <w:wordWrap/>
        <w:autoSpaceDE w:val="0"/>
        <w:autoSpaceDN w:val="0"/>
        <w:spacing w:before="0" w:after="0" w:line="242" w:lineRule="auto"/>
        <w:ind w:left="180" w:right="200" w:firstLine="0"/>
        <w:jc w:val="both"/>
        <w:rPr>
          <w:sz w:val="18"/>
          <w:szCs w:val="18"/>
        </w:rPr>
      </w:pPr>
      <w:r>
        <w:rPr>
          <w:rFonts w:hint="eastAsia" w:ascii="宋体" w:hAnsi="宋体" w:eastAsia="宋体"/>
          <w:color w:val="000000"/>
          <w:sz w:val="18"/>
          <w:szCs w:val="18"/>
        </w:rPr>
        <w:t>环形多点设计，色温范围</w:t>
      </w:r>
      <w:r>
        <w:rPr>
          <w:rFonts w:hint="eastAsia" w:ascii="Calibri" w:hAnsi="Calibri" w:eastAsia="Calibri"/>
          <w:color w:val="000000"/>
          <w:sz w:val="18"/>
          <w:szCs w:val="18"/>
        </w:rPr>
        <w:t>3200K</w:t>
      </w:r>
      <w:r>
        <w:rPr>
          <w:rFonts w:hint="eastAsia" w:ascii="宋体" w:hAnsi="宋体" w:eastAsia="宋体"/>
          <w:color w:val="000000"/>
          <w:sz w:val="18"/>
          <w:szCs w:val="18"/>
        </w:rPr>
        <w:t>-</w:t>
      </w:r>
      <w:r>
        <w:rPr>
          <w:rFonts w:hint="eastAsia" w:ascii="Calibri" w:hAnsi="Calibri" w:eastAsia="Calibri"/>
          <w:color w:val="000000"/>
          <w:sz w:val="18"/>
          <w:szCs w:val="18"/>
        </w:rPr>
        <w:t>7000K</w:t>
      </w:r>
      <w:r>
        <w:rPr>
          <w:rFonts w:hint="eastAsia" w:ascii="宋体" w:hAnsi="宋体" w:eastAsia="宋体"/>
          <w:color w:val="000000"/>
          <w:sz w:val="18"/>
          <w:szCs w:val="18"/>
        </w:rPr>
        <w:t>，显色指数</w:t>
      </w:r>
      <m:oMath>
        <m:r>
          <m:rPr/>
          <w:rPr>
            <w:rFonts w:hint="eastAsia" w:ascii="宋体" w:hAnsi="宋体" w:eastAsia="宋体"/>
            <w:color w:val="000000"/>
            <w:sz w:val="18"/>
            <w:szCs w:val="18"/>
          </w:rPr>
          <m:t>Ra≥76。</m:t>
        </m:r>
      </m:oMath>
    </w:p>
    <w:p w14:paraId="16F5DB8A">
      <w:pPr>
        <w:numPr>
          <w:ilvl w:val="0"/>
          <w:numId w:val="1"/>
        </w:numPr>
        <w:jc w:val="both"/>
        <w:rPr>
          <w:rFonts w:hint="eastAsia" w:ascii="宋体" w:hAnsi="宋体" w:eastAsia="宋体"/>
          <w:color w:val="000000"/>
          <w:sz w:val="18"/>
          <w:szCs w:val="18"/>
        </w:rPr>
      </w:pPr>
      <w:r>
        <w:rPr>
          <w:rFonts w:hint="eastAsia" w:ascii="Calibri" w:hAnsi="Calibri" w:eastAsia="Calibri"/>
          <w:color w:val="000000"/>
          <w:sz w:val="18"/>
          <w:szCs w:val="18"/>
        </w:rPr>
        <w:t>:200mm</w:t>
      </w:r>
      <w:r>
        <w:rPr>
          <w:rFonts w:hint="eastAsia" w:ascii="宋体" w:hAnsi="宋体" w:eastAsia="宋体"/>
          <w:color w:val="000000"/>
          <w:sz w:val="18"/>
          <w:szCs w:val="18"/>
        </w:rPr>
        <w:t>时</w:t>
      </w:r>
      <w:r>
        <w:rPr>
          <w:rFonts w:hint="eastAsia" w:ascii="Calibri" w:hAnsi="Calibri" w:eastAsia="Calibri"/>
          <w:color w:val="000000"/>
          <w:sz w:val="18"/>
          <w:szCs w:val="18"/>
        </w:rPr>
        <w:t>，</w:t>
      </w:r>
      <w:r>
        <w:rPr>
          <w:rFonts w:hint="eastAsia" w:ascii="宋体" w:hAnsi="宋体" w:eastAsia="宋体"/>
          <w:color w:val="000000"/>
          <w:sz w:val="18"/>
          <w:szCs w:val="18"/>
        </w:rPr>
        <w:t>中心照度</w:t>
      </w:r>
      <w:r>
        <w:rPr>
          <w:rFonts w:hint="eastAsia" w:ascii="Calibri" w:hAnsi="Calibri" w:eastAsia="Calibri"/>
          <w:color w:val="000000"/>
          <w:sz w:val="18"/>
          <w:szCs w:val="18"/>
        </w:rPr>
        <w:t>≥5000 Lux;300mm</w:t>
      </w:r>
      <w:r>
        <w:rPr>
          <w:rFonts w:hint="eastAsia" w:ascii="宋体" w:hAnsi="宋体" w:eastAsia="宋体"/>
          <w:color w:val="000000"/>
          <w:sz w:val="18"/>
          <w:szCs w:val="18"/>
        </w:rPr>
        <w:t>时</w:t>
      </w:r>
      <w:r>
        <w:rPr>
          <w:rFonts w:hint="eastAsia" w:ascii="Calibri" w:hAnsi="Calibri" w:eastAsia="Calibri"/>
          <w:color w:val="000000"/>
          <w:sz w:val="18"/>
          <w:szCs w:val="18"/>
        </w:rPr>
        <w:t>≥3000Lux，</w:t>
      </w:r>
      <w:r>
        <w:rPr>
          <w:rFonts w:hint="eastAsia" w:ascii="宋体" w:hAnsi="宋体" w:eastAsia="宋体"/>
          <w:color w:val="000000"/>
          <w:sz w:val="18"/>
          <w:szCs w:val="18"/>
        </w:rPr>
        <w:t>支持多级调节。</w:t>
      </w:r>
    </w:p>
    <w:p w14:paraId="28C029BD">
      <w:pPr>
        <w:wordWrap w:val="0"/>
        <w:autoSpaceDE w:val="0"/>
        <w:autoSpaceDN w:val="0"/>
        <w:spacing w:before="0" w:after="0" w:line="255" w:lineRule="auto"/>
        <w:ind w:right="180"/>
        <w:jc w:val="both"/>
        <w:rPr>
          <w:sz w:val="18"/>
          <w:szCs w:val="18"/>
        </w:rPr>
      </w:pPr>
      <w:r>
        <w:rPr>
          <w:rFonts w:hint="eastAsia" w:ascii="Calibri" w:hAnsi="Calibri" w:eastAsia="宋体"/>
          <w:color w:val="000000"/>
          <w:sz w:val="18"/>
          <w:szCs w:val="18"/>
          <w:lang w:eastAsia="zh-CN"/>
        </w:rPr>
        <w:t>（</w:t>
      </w:r>
      <w:r>
        <w:rPr>
          <w:rFonts w:hint="eastAsia" w:ascii="Calibri" w:hAnsi="Calibri" w:eastAsia="Calibri"/>
          <w:color w:val="000000"/>
          <w:sz w:val="18"/>
          <w:szCs w:val="18"/>
        </w:rPr>
        <w:t>3</w:t>
      </w:r>
      <w:r>
        <w:rPr>
          <w:rFonts w:hint="eastAsia" w:ascii="宋体" w:hAnsi="宋体" w:eastAsia="宋体"/>
          <w:color w:val="000000"/>
          <w:sz w:val="18"/>
          <w:szCs w:val="18"/>
        </w:rPr>
        <w:t>）光斑均匀性：光斑直径≥</w:t>
      </w:r>
      <w:r>
        <w:rPr>
          <w:rFonts w:hint="eastAsia" w:ascii="Calibri" w:hAnsi="Calibri" w:eastAsia="Calibri"/>
          <w:color w:val="000000"/>
          <w:sz w:val="18"/>
          <w:szCs w:val="18"/>
        </w:rPr>
        <w:t>80mm</w:t>
      </w:r>
      <w:r>
        <w:rPr>
          <w:rFonts w:hint="eastAsia" w:ascii="宋体" w:hAnsi="宋体" w:eastAsia="宋体"/>
          <w:color w:val="000000"/>
          <w:sz w:val="18"/>
          <w:szCs w:val="18"/>
        </w:rPr>
        <w:t>，照度均匀性（最大／平均照度）</w:t>
      </w:r>
      <m:oMath>
        <m:r>
          <m:rPr/>
          <w:rPr>
            <w:rFonts w:hint="eastAsia" w:ascii="宋体" w:hAnsi="宋体" w:eastAsia="宋体"/>
            <w:color w:val="000000"/>
            <w:sz w:val="18"/>
            <w:szCs w:val="18"/>
          </w:rPr>
          <m:t>≤1.5。</m:t>
        </m:r>
      </m:oMath>
    </w:p>
    <w:p w14:paraId="3BDED69C">
      <w:pPr>
        <w:wordWrap w:val="0"/>
        <w:autoSpaceDE w:val="0"/>
        <w:autoSpaceDN w:val="0"/>
        <w:spacing w:before="0" w:after="0" w:line="250" w:lineRule="auto"/>
        <w:ind w:right="18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4</w:t>
      </w:r>
      <w:r>
        <w:rPr>
          <w:rFonts w:hint="eastAsia" w:ascii="宋体" w:hAnsi="宋体" w:eastAsia="宋体"/>
          <w:color w:val="000000"/>
          <w:sz w:val="18"/>
          <w:szCs w:val="18"/>
        </w:rPr>
        <w:t>）低辐射要求：辐射热≤</w:t>
      </w:r>
      <w:r>
        <w:rPr>
          <w:rFonts w:hint="eastAsia" w:ascii="Calibri" w:hAnsi="Calibri" w:eastAsia="Calibri"/>
          <w:color w:val="000000"/>
          <w:sz w:val="18"/>
          <w:szCs w:val="18"/>
        </w:rPr>
        <w:t>350</w:t>
      </w:r>
      <m:oMath>
        <m:r>
          <m:rPr/>
          <w:rPr>
            <w:rFonts w:hint="eastAsia" w:ascii="宋体" w:hAnsi="宋体" w:eastAsia="宋体"/>
            <w:color w:val="000000"/>
            <w:sz w:val="18"/>
            <w:szCs w:val="18"/>
          </w:rPr>
          <m:t>W/</m:t>
        </m:r>
        <m:sSup>
          <m:sSupPr>
            <m:ctrlPr>
              <w:rPr>
                <w:sz w:val="18"/>
                <w:szCs w:val="18"/>
              </w:rPr>
            </m:ctrlPr>
          </m:sSupPr>
          <m:e>
            <m:r>
              <m:rPr/>
              <w:rPr>
                <w:rFonts w:hint="eastAsia" w:ascii="宋体" w:hAnsi="宋体" w:eastAsia="宋体"/>
                <w:color w:val="000000"/>
                <w:sz w:val="18"/>
                <w:szCs w:val="18"/>
              </w:rPr>
              <m:t>m</m:t>
            </m:r>
            <m:ctrlPr>
              <w:rPr>
                <w:sz w:val="18"/>
                <w:szCs w:val="18"/>
              </w:rPr>
            </m:ctrlPr>
          </m:e>
          <m:sup>
            <m:r>
              <m:rPr/>
              <w:rPr>
                <w:rFonts w:hint="eastAsia" w:ascii="宋体" w:hAnsi="宋体" w:eastAsia="宋体"/>
                <w:color w:val="000000"/>
                <w:sz w:val="18"/>
                <w:szCs w:val="18"/>
              </w:rPr>
              <m:t>2</m:t>
            </m:r>
            <m:ctrlPr>
              <w:rPr>
                <w:sz w:val="18"/>
                <w:szCs w:val="18"/>
              </w:rPr>
            </m:ctrlPr>
          </m:sup>
        </m:sSup>
      </m:oMath>
      <w:r>
        <w:rPr>
          <w:rFonts w:hint="eastAsia" w:ascii="宋体" w:hAnsi="宋体" w:eastAsia="宋体"/>
          <w:color w:val="000000"/>
          <w:sz w:val="18"/>
          <w:szCs w:val="18"/>
        </w:rPr>
        <w:t>，紫外辐射强度≤</w:t>
      </w:r>
      <w:r>
        <w:rPr>
          <w:rFonts w:hint="eastAsia" w:ascii="Calibri" w:hAnsi="Calibri" w:eastAsia="Calibri"/>
          <w:color w:val="000000"/>
          <w:sz w:val="18"/>
          <w:szCs w:val="18"/>
        </w:rPr>
        <w:t>0</w:t>
      </w:r>
      <w:r>
        <w:rPr>
          <w:rFonts w:hint="eastAsia" w:ascii="宋体" w:hAnsi="宋体" w:eastAsia="宋体"/>
          <w:color w:val="000000"/>
          <w:sz w:val="18"/>
          <w:szCs w:val="18"/>
        </w:rPr>
        <w:t>.</w:t>
      </w:r>
      <w:r>
        <w:rPr>
          <w:rFonts w:hint="eastAsia" w:ascii="Calibri" w:hAnsi="Calibri" w:eastAsia="Calibri"/>
          <w:color w:val="000000"/>
          <w:sz w:val="18"/>
          <w:szCs w:val="18"/>
        </w:rPr>
        <w:t>008</w:t>
      </w:r>
      <w:r>
        <w:rPr>
          <w:rFonts w:hint="eastAsia" w:ascii="宋体" w:hAnsi="宋体" w:eastAsia="宋体"/>
          <w:color w:val="000000"/>
          <w:sz w:val="18"/>
          <w:szCs w:val="18"/>
        </w:rPr>
        <w:t xml:space="preserve"> </w:t>
      </w:r>
      <w:r>
        <w:rPr>
          <w:rFonts w:hint="eastAsia" w:ascii="Calibri" w:hAnsi="Calibri" w:eastAsia="Calibri"/>
          <w:color w:val="000000"/>
          <w:sz w:val="18"/>
          <w:szCs w:val="18"/>
        </w:rPr>
        <w:t>W</w:t>
      </w:r>
      <w:r>
        <w:rPr>
          <w:rFonts w:hint="eastAsia" w:ascii="宋体" w:hAnsi="宋体" w:eastAsia="宋体"/>
          <w:color w:val="000000"/>
          <w:sz w:val="18"/>
          <w:szCs w:val="18"/>
        </w:rPr>
        <w:t>／㎡，温升≤</w:t>
      </w: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（20</w:t>
      </w:r>
      <w:r>
        <w:rPr>
          <w:rFonts w:hint="eastAsia" w:ascii="宋体" w:hAnsi="宋体" w:eastAsia="宋体"/>
          <w:color w:val="000000"/>
          <w:sz w:val="18"/>
          <w:szCs w:val="18"/>
        </w:rPr>
        <w:t>分钟内）。</w:t>
      </w:r>
    </w:p>
    <w:p w14:paraId="3E97BB23">
      <w:pPr>
        <w:wordWrap w:val="0"/>
        <w:autoSpaceDE w:val="0"/>
        <w:autoSpaceDN w:val="0"/>
        <w:spacing w:before="0" w:after="0" w:line="376" w:lineRule="exact"/>
        <w:jc w:val="both"/>
        <w:rPr>
          <w:sz w:val="18"/>
          <w:szCs w:val="18"/>
        </w:rPr>
      </w:pPr>
      <w:r>
        <w:rPr>
          <w:rFonts w:hint="eastAsia" w:ascii="Calibri" w:hAnsi="Calibri" w:eastAsia="Calibri"/>
          <w:color w:val="000000"/>
          <w:sz w:val="18"/>
          <w:szCs w:val="18"/>
        </w:rPr>
        <w:t>3</w:t>
      </w:r>
      <w:r>
        <w:rPr>
          <w:rFonts w:hint="eastAsia" w:ascii="宋体" w:hAnsi="宋体" w:eastAsia="宋体"/>
          <w:color w:val="000000"/>
          <w:sz w:val="18"/>
          <w:szCs w:val="18"/>
        </w:rPr>
        <w:t>．操作与控制功能</w:t>
      </w:r>
    </w:p>
    <w:p w14:paraId="59287DA9">
      <w:pPr>
        <w:wordWrap w:val="0"/>
        <w:autoSpaceDE w:val="0"/>
        <w:autoSpaceDN w:val="0"/>
        <w:spacing w:before="0" w:after="0" w:line="376" w:lineRule="exact"/>
        <w:ind w:right="18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）按键／遥控操作：镜头或手柄上具备按键控制图像放大、缩小、冻结、聚焦、白平衡、电子滤镜等功能。</w:t>
      </w:r>
    </w:p>
    <w:p w14:paraId="1C612039">
      <w:pPr>
        <w:wordWrap w:val="0"/>
        <w:autoSpaceDE w:val="0"/>
        <w:autoSpaceDN w:val="0"/>
        <w:spacing w:before="0" w:after="0" w:line="376" w:lineRule="exact"/>
        <w:ind w:right="14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2</w:t>
      </w:r>
      <w:r>
        <w:rPr>
          <w:rFonts w:hint="eastAsia" w:ascii="宋体" w:hAnsi="宋体" w:eastAsia="宋体"/>
          <w:color w:val="000000"/>
          <w:sz w:val="18"/>
          <w:szCs w:val="18"/>
        </w:rPr>
        <w:t>）计时功能：具备醋酸试验自动计时功能，可显示／关闭时长标记。</w:t>
      </w:r>
    </w:p>
    <w:p w14:paraId="26EC1E63">
      <w:pPr>
        <w:wordWrap w:val="0"/>
        <w:autoSpaceDE w:val="0"/>
        <w:autoSpaceDN w:val="0"/>
        <w:spacing w:before="0" w:after="0" w:line="376" w:lineRule="exact"/>
        <w:ind w:right="16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）脚踏采图：支持脚踏开关进行图像采集，便于医生操作。</w:t>
      </w:r>
    </w:p>
    <w:p w14:paraId="22D27E3E">
      <w:pPr>
        <w:wordWrap w:val="0"/>
        <w:autoSpaceDE w:val="0"/>
        <w:autoSpaceDN w:val="0"/>
        <w:spacing w:before="0" w:after="0" w:line="376" w:lineRule="exact"/>
        <w:jc w:val="both"/>
        <w:rPr>
          <w:sz w:val="18"/>
          <w:szCs w:val="18"/>
        </w:rPr>
      </w:pPr>
      <w:r>
        <w:rPr>
          <w:rFonts w:hint="eastAsia" w:ascii="Calibri" w:hAnsi="Calibri" w:eastAsia="Calibri"/>
          <w:color w:val="000000"/>
          <w:sz w:val="18"/>
          <w:szCs w:val="18"/>
        </w:rPr>
        <w:t>4</w:t>
      </w:r>
      <w:r>
        <w:rPr>
          <w:rFonts w:hint="eastAsia" w:ascii="宋体" w:hAnsi="宋体" w:eastAsia="宋体"/>
          <w:color w:val="000000"/>
          <w:sz w:val="18"/>
          <w:szCs w:val="18"/>
        </w:rPr>
        <w:t>．软件与数据管理功能</w:t>
      </w:r>
    </w:p>
    <w:p w14:paraId="4FB9C50B">
      <w:pPr>
        <w:wordWrap w:val="0"/>
        <w:autoSpaceDE w:val="0"/>
        <w:autoSpaceDN w:val="0"/>
        <w:spacing w:before="0" w:after="0" w:line="363" w:lineRule="exact"/>
        <w:ind w:right="14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）图像处理：支持图像采集、冻结、存储、回放、对比、伪彩、标注、测量、编辑等功能。</w:t>
      </w:r>
    </w:p>
    <w:p w14:paraId="7E860A8C">
      <w:pPr>
        <w:wordWrap w:val="0"/>
        <w:autoSpaceDE w:val="0"/>
        <w:autoSpaceDN w:val="0"/>
        <w:spacing w:before="0" w:after="0" w:line="376" w:lineRule="exact"/>
        <w:ind w:right="14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2</w:t>
      </w:r>
      <w:r>
        <w:rPr>
          <w:rFonts w:hint="eastAsia" w:ascii="宋体" w:hAnsi="宋体" w:eastAsia="宋体"/>
          <w:color w:val="000000"/>
          <w:sz w:val="18"/>
          <w:szCs w:val="18"/>
        </w:rPr>
        <w:t>）病历管理：支持新建、查找、编辑病人信息及检查报告，存储病历量≥</w:t>
      </w:r>
      <w:r>
        <w:rPr>
          <w:rFonts w:hint="eastAsia" w:ascii="Calibri" w:hAnsi="Calibri" w:eastAsia="Calibri"/>
          <w:color w:val="000000"/>
          <w:sz w:val="18"/>
          <w:szCs w:val="18"/>
        </w:rPr>
        <w:t>30</w:t>
      </w:r>
      <w:r>
        <w:rPr>
          <w:rFonts w:hint="eastAsia" w:ascii="宋体" w:hAnsi="宋体" w:eastAsia="宋体"/>
          <w:color w:val="000000"/>
          <w:sz w:val="18"/>
          <w:szCs w:val="18"/>
        </w:rPr>
        <w:t>万例。</w:t>
      </w:r>
    </w:p>
    <w:p w14:paraId="0CE0FEE5">
      <w:pPr>
        <w:wordWrap w:val="0"/>
        <w:autoSpaceDE w:val="0"/>
        <w:autoSpaceDN w:val="0"/>
        <w:spacing w:before="0" w:after="0" w:line="376" w:lineRule="exact"/>
        <w:ind w:right="14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）报告输出：支持图文报告打印，含专家诊断词库、模板，支持</w:t>
      </w:r>
      <w:r>
        <w:rPr>
          <w:rFonts w:hint="eastAsia" w:ascii="Calibri" w:hAnsi="Calibri" w:eastAsia="Calibri"/>
          <w:color w:val="000000"/>
          <w:sz w:val="18"/>
          <w:szCs w:val="18"/>
        </w:rPr>
        <w:t>LEEP</w:t>
      </w:r>
      <w:r>
        <w:rPr>
          <w:rFonts w:hint="eastAsia" w:ascii="宋体" w:hAnsi="宋体" w:eastAsia="宋体"/>
          <w:color w:val="000000"/>
          <w:sz w:val="18"/>
          <w:szCs w:val="18"/>
        </w:rPr>
        <w:t>手术记录输出。</w:t>
      </w:r>
    </w:p>
    <w:p w14:paraId="047B2B45">
      <w:pPr>
        <w:autoSpaceDE w:val="0"/>
        <w:autoSpaceDN w:val="0"/>
        <w:spacing w:before="0" w:after="0" w:line="376" w:lineRule="exact"/>
        <w:ind w:right="160"/>
        <w:jc w:val="both"/>
        <w:rPr>
          <w:sz w:val="18"/>
          <w:szCs w:val="18"/>
        </w:rPr>
      </w:pPr>
      <w:r>
        <w:rPr>
          <w:rFonts w:hint="eastAsia" w:ascii="Calibri" w:hAnsi="Calibri" w:eastAsia="宋体"/>
          <w:color w:val="000000"/>
          <w:sz w:val="18"/>
          <w:szCs w:val="18"/>
          <w:lang w:eastAsia="zh-CN"/>
        </w:rPr>
        <w:t>（</w:t>
      </w:r>
      <w:r>
        <w:rPr>
          <w:rFonts w:hint="eastAsia" w:ascii="Calibri" w:hAnsi="Calibri" w:eastAsia="Calibri"/>
          <w:color w:val="000000"/>
          <w:sz w:val="18"/>
          <w:szCs w:val="18"/>
        </w:rPr>
        <w:t>4</w:t>
      </w:r>
      <w:r>
        <w:rPr>
          <w:rFonts w:hint="eastAsia" w:ascii="宋体" w:hAnsi="宋体" w:eastAsia="宋体"/>
          <w:color w:val="000000"/>
          <w:sz w:val="18"/>
          <w:szCs w:val="18"/>
        </w:rPr>
        <w:t>）联网与兼容性：兼容</w:t>
      </w:r>
      <w:r>
        <w:rPr>
          <w:rFonts w:hint="eastAsia" w:ascii="Calibri" w:hAnsi="Calibri" w:eastAsia="Calibri"/>
          <w:color w:val="000000"/>
          <w:sz w:val="18"/>
          <w:szCs w:val="18"/>
        </w:rPr>
        <w:t>PACS</w:t>
      </w:r>
      <w:r>
        <w:rPr>
          <w:rFonts w:hint="eastAsia" w:ascii="宋体" w:hAnsi="宋体" w:eastAsia="宋体"/>
          <w:color w:val="000000"/>
          <w:sz w:val="18"/>
          <w:szCs w:val="18"/>
        </w:rPr>
        <w:t>、</w:t>
      </w:r>
      <w:r>
        <w:rPr>
          <w:rFonts w:hint="eastAsia" w:ascii="Calibri" w:hAnsi="Calibri" w:eastAsia="Calibri"/>
          <w:color w:val="000000"/>
          <w:sz w:val="18"/>
          <w:szCs w:val="18"/>
        </w:rPr>
        <w:t>HIS</w:t>
      </w:r>
      <w:r>
        <w:rPr>
          <w:rFonts w:hint="eastAsia" w:ascii="宋体" w:hAnsi="宋体" w:eastAsia="宋体"/>
          <w:color w:val="000000"/>
          <w:sz w:val="18"/>
          <w:szCs w:val="18"/>
        </w:rPr>
        <w:t>系统，支持远程会诊、数据云传输。</w:t>
      </w:r>
    </w:p>
    <w:p w14:paraId="1BF0F873">
      <w:pPr>
        <w:wordWrap w:val="0"/>
        <w:autoSpaceDE w:val="0"/>
        <w:autoSpaceDN w:val="0"/>
        <w:spacing w:before="0" w:after="0" w:line="376" w:lineRule="exact"/>
        <w:jc w:val="both"/>
        <w:rPr>
          <w:sz w:val="18"/>
          <w:szCs w:val="18"/>
        </w:rPr>
      </w:pPr>
      <w:r>
        <w:rPr>
          <w:rFonts w:hint="eastAsia" w:ascii="Calibri" w:hAnsi="Calibri" w:eastAsia="Calibri"/>
          <w:color w:val="000000"/>
          <w:sz w:val="18"/>
          <w:szCs w:val="18"/>
        </w:rPr>
        <w:t>5</w:t>
      </w:r>
      <w:r>
        <w:rPr>
          <w:rFonts w:hint="eastAsia" w:ascii="宋体" w:hAnsi="宋体" w:eastAsia="宋体"/>
          <w:color w:val="000000"/>
          <w:sz w:val="18"/>
          <w:szCs w:val="18"/>
        </w:rPr>
        <w:t>．安全与法规要求</w:t>
      </w:r>
    </w:p>
    <w:p w14:paraId="05142133">
      <w:pPr>
        <w:autoSpaceDE w:val="0"/>
        <w:autoSpaceDN w:val="0"/>
        <w:spacing w:before="0" w:after="0" w:line="376" w:lineRule="exact"/>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电气安全</w:t>
      </w:r>
      <w:r>
        <w:rPr>
          <w:rFonts w:hint="eastAsia" w:ascii="Calibri" w:hAnsi="Calibri" w:eastAsia="Calibri"/>
          <w:color w:val="000000"/>
          <w:sz w:val="18"/>
          <w:szCs w:val="18"/>
        </w:rPr>
        <w:t>：</w:t>
      </w:r>
      <w:r>
        <w:rPr>
          <w:rFonts w:hint="eastAsia" w:ascii="宋体" w:hAnsi="宋体" w:eastAsia="宋体"/>
          <w:color w:val="000000"/>
          <w:sz w:val="18"/>
          <w:szCs w:val="18"/>
        </w:rPr>
        <w:t>符合</w:t>
      </w:r>
      <w:r>
        <w:rPr>
          <w:rFonts w:hint="eastAsia" w:ascii="Calibri" w:hAnsi="Calibri" w:eastAsia="Calibri"/>
          <w:color w:val="000000"/>
          <w:sz w:val="18"/>
          <w:szCs w:val="18"/>
        </w:rPr>
        <w:t>GB9706.1-2007、GB 9706.15-2008（</w:t>
      </w:r>
      <w:r>
        <w:rPr>
          <w:rFonts w:hint="eastAsia" w:ascii="宋体" w:hAnsi="宋体" w:eastAsia="宋体"/>
          <w:color w:val="000000"/>
          <w:sz w:val="18"/>
          <w:szCs w:val="18"/>
        </w:rPr>
        <w:t>如为系统</w:t>
      </w:r>
      <w:r>
        <w:rPr>
          <w:rFonts w:hint="eastAsia" w:ascii="Calibri" w:hAnsi="Calibri" w:eastAsia="Calibri"/>
          <w:color w:val="000000"/>
          <w:sz w:val="18"/>
          <w:szCs w:val="18"/>
        </w:rPr>
        <w:t>）</w:t>
      </w:r>
      <w:r>
        <w:rPr>
          <w:rFonts w:hint="eastAsia" w:ascii="宋体" w:hAnsi="宋体" w:eastAsia="宋体"/>
          <w:color w:val="000000"/>
          <w:sz w:val="18"/>
          <w:szCs w:val="18"/>
        </w:rPr>
        <w:t>标准</w:t>
      </w:r>
      <w:r>
        <w:rPr>
          <w:rFonts w:hint="eastAsia" w:ascii="Calibri" w:hAnsi="Calibri" w:eastAsia="Calibri"/>
          <w:color w:val="000000"/>
          <w:sz w:val="18"/>
          <w:szCs w:val="18"/>
        </w:rPr>
        <w:t>。</w:t>
      </w:r>
      <w:bookmarkStart w:id="0" w:name="_GoBack"/>
      <w:bookmarkEnd w:id="0"/>
    </w:p>
    <w:p w14:paraId="40A620CF">
      <w:pPr>
        <w:autoSpaceDE w:val="0"/>
        <w:autoSpaceDN w:val="0"/>
        <w:spacing w:before="0" w:after="0" w:line="376" w:lineRule="exact"/>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电磁兼容</w:t>
      </w:r>
      <w:r>
        <w:rPr>
          <w:rFonts w:hint="eastAsia" w:ascii="Calibri" w:hAnsi="Calibri" w:eastAsia="Calibri"/>
          <w:color w:val="000000"/>
          <w:sz w:val="18"/>
          <w:szCs w:val="18"/>
        </w:rPr>
        <w:t>：</w:t>
      </w:r>
      <w:r>
        <w:rPr>
          <w:rFonts w:hint="eastAsia" w:ascii="宋体" w:hAnsi="宋体" w:eastAsia="宋体"/>
          <w:color w:val="000000"/>
          <w:sz w:val="18"/>
          <w:szCs w:val="18"/>
        </w:rPr>
        <w:t>符合</w:t>
      </w:r>
      <w:r>
        <w:rPr>
          <w:rFonts w:hint="eastAsia" w:ascii="Calibri" w:hAnsi="Calibri" w:eastAsia="Calibri"/>
          <w:color w:val="000000"/>
          <w:sz w:val="18"/>
          <w:szCs w:val="18"/>
        </w:rPr>
        <w:t>YY 0505-2012</w:t>
      </w:r>
      <w:r>
        <w:rPr>
          <w:rFonts w:hint="eastAsia" w:ascii="宋体" w:hAnsi="宋体" w:eastAsia="宋体"/>
          <w:color w:val="000000"/>
          <w:sz w:val="18"/>
          <w:szCs w:val="18"/>
        </w:rPr>
        <w:t>标准</w:t>
      </w:r>
      <w:r>
        <w:rPr>
          <w:rFonts w:hint="eastAsia" w:ascii="Calibri" w:hAnsi="Calibri" w:eastAsia="Calibri"/>
          <w:color w:val="000000"/>
          <w:sz w:val="18"/>
          <w:szCs w:val="18"/>
        </w:rPr>
        <w:t>。</w:t>
      </w:r>
    </w:p>
    <w:p w14:paraId="33079A7C">
      <w:pPr>
        <w:wordWrap w:val="0"/>
        <w:autoSpaceDE w:val="0"/>
        <w:autoSpaceDN w:val="0"/>
        <w:spacing w:before="0" w:after="0" w:line="286" w:lineRule="exact"/>
        <w:ind w:right="14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）环境适应性：在额定电压±</w:t>
      </w:r>
      <w:r>
        <w:rPr>
          <w:rFonts w:hint="eastAsia" w:ascii="Calibri" w:hAnsi="Calibri" w:eastAsia="Calibri"/>
          <w:color w:val="000000"/>
          <w:sz w:val="18"/>
          <w:szCs w:val="18"/>
        </w:rPr>
        <w:t>10</w:t>
      </w:r>
      <w:r>
        <w:rPr>
          <w:rFonts w:hint="eastAsia" w:ascii="宋体" w:hAnsi="宋体" w:eastAsia="宋体"/>
          <w:color w:val="000000"/>
          <w:sz w:val="18"/>
          <w:szCs w:val="18"/>
        </w:rPr>
        <w:t>％、温度、湿度、大气压等正常工作条件下应能稳定运行。</w:t>
      </w:r>
    </w:p>
    <w:p w14:paraId="7793A322">
      <w:pPr>
        <w:wordWrap w:val="0"/>
        <w:autoSpaceDE w:val="0"/>
        <w:autoSpaceDN w:val="0"/>
        <w:spacing w:before="0" w:after="0" w:line="376" w:lineRule="exact"/>
        <w:ind w:right="14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4</w:t>
      </w:r>
      <w:r>
        <w:rPr>
          <w:rFonts w:hint="eastAsia" w:ascii="宋体" w:hAnsi="宋体" w:eastAsia="宋体"/>
          <w:color w:val="000000"/>
          <w:sz w:val="18"/>
          <w:szCs w:val="18"/>
        </w:rPr>
        <w:t>）外观结构：外壳无裂纹、划痕，文字标识清晰，控制机构灵活可靠。</w:t>
      </w:r>
    </w:p>
    <w:p w14:paraId="08644EE0">
      <w:pPr>
        <w:wordWrap w:val="0"/>
        <w:autoSpaceDE w:val="0"/>
        <w:autoSpaceDN w:val="0"/>
        <w:spacing w:before="0" w:after="0" w:line="376" w:lineRule="exact"/>
        <w:ind w:firstLine="160"/>
        <w:jc w:val="both"/>
        <w:rPr>
          <w:sz w:val="18"/>
          <w:szCs w:val="18"/>
        </w:rPr>
      </w:pPr>
      <w:r>
        <w:rPr>
          <w:rFonts w:hint="eastAsia" w:ascii="宋体" w:hAnsi="宋体" w:eastAsia="宋体"/>
          <w:color w:val="000000"/>
          <w:sz w:val="18"/>
          <w:szCs w:val="18"/>
        </w:rPr>
        <w:t>三、功能的技术指标及其他技术参数</w:t>
      </w:r>
    </w:p>
    <w:p w14:paraId="18492C58">
      <w:pPr>
        <w:autoSpaceDE w:val="0"/>
        <w:autoSpaceDN w:val="0"/>
        <w:spacing w:before="103" w:after="0" w:line="376" w:lineRule="exact"/>
        <w:ind w:left="180" w:firstLine="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．阴道镜镜头：</w:t>
      </w: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．镜头具有连续变焦、自动聚焦和高清</w:t>
      </w:r>
      <w:r>
        <w:rPr>
          <w:rFonts w:hint="eastAsia" w:ascii="Calibri" w:hAnsi="Calibri" w:eastAsia="Calibri"/>
          <w:color w:val="000000"/>
          <w:sz w:val="18"/>
          <w:szCs w:val="18"/>
        </w:rPr>
        <w:t xml:space="preserve">CMOS </w:t>
      </w:r>
      <w:r>
        <w:rPr>
          <w:rFonts w:hint="eastAsia" w:ascii="宋体" w:hAnsi="宋体" w:eastAsia="宋体"/>
          <w:color w:val="000000"/>
          <w:sz w:val="18"/>
          <w:szCs w:val="18"/>
        </w:rPr>
        <w:t>成像功能，输出</w:t>
      </w:r>
      <w:r>
        <w:rPr>
          <w:rFonts w:hint="eastAsia" w:ascii="Calibri" w:hAnsi="Calibri" w:eastAsia="Calibri"/>
          <w:color w:val="000000"/>
          <w:sz w:val="18"/>
          <w:szCs w:val="18"/>
        </w:rPr>
        <w:t>HD</w:t>
      </w:r>
      <w:r>
        <w:rPr>
          <w:rFonts w:hint="eastAsia" w:ascii="宋体" w:hAnsi="宋体" w:eastAsia="宋体"/>
          <w:color w:val="000000"/>
          <w:sz w:val="18"/>
          <w:szCs w:val="18"/>
        </w:rPr>
        <w:t>≥</w:t>
      </w:r>
      <w:r>
        <w:rPr>
          <w:rFonts w:hint="eastAsia" w:ascii="Calibri" w:hAnsi="Calibri" w:eastAsia="Calibri"/>
          <w:color w:val="000000"/>
          <w:sz w:val="18"/>
          <w:szCs w:val="18"/>
        </w:rPr>
        <w:t>720P</w:t>
      </w:r>
      <w:r>
        <w:rPr>
          <w:rFonts w:hint="eastAsia" w:ascii="宋体" w:hAnsi="宋体" w:eastAsia="宋体"/>
          <w:color w:val="000000"/>
          <w:sz w:val="18"/>
          <w:szCs w:val="18"/>
        </w:rPr>
        <w:t>信号。</w:t>
      </w:r>
    </w:p>
    <w:p w14:paraId="0F1443F0">
      <w:pPr>
        <w:autoSpaceDE w:val="0"/>
        <w:autoSpaceDN w:val="0"/>
        <w:spacing w:before="0" w:after="0" w:line="376" w:lineRule="exact"/>
        <w:ind w:firstLine="18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2</w:t>
      </w:r>
      <w:r>
        <w:rPr>
          <w:rFonts w:hint="eastAsia" w:ascii="宋体" w:hAnsi="宋体" w:eastAsia="宋体"/>
          <w:color w:val="000000"/>
          <w:sz w:val="18"/>
          <w:szCs w:val="18"/>
        </w:rPr>
        <w:t>．成像系统水平分辨率≥</w:t>
      </w:r>
      <w:r>
        <w:rPr>
          <w:rFonts w:hint="eastAsia" w:ascii="Calibri" w:hAnsi="Calibri" w:eastAsia="Calibri"/>
          <w:color w:val="000000"/>
          <w:sz w:val="18"/>
          <w:szCs w:val="18"/>
        </w:rPr>
        <w:t>700TVL</w:t>
      </w:r>
      <w:r>
        <w:rPr>
          <w:rFonts w:hint="eastAsia" w:ascii="宋体" w:hAnsi="宋体" w:eastAsia="宋体"/>
          <w:color w:val="000000"/>
          <w:sz w:val="18"/>
          <w:szCs w:val="18"/>
        </w:rPr>
        <w:t>。</w:t>
      </w:r>
    </w:p>
    <w:p w14:paraId="5921B968">
      <w:pPr>
        <w:wordWrap w:val="0"/>
        <w:autoSpaceDE w:val="0"/>
        <w:autoSpaceDN w:val="0"/>
        <w:spacing w:before="0" w:after="0" w:line="376" w:lineRule="exact"/>
        <w:ind w:left="180" w:right="180" w:firstLine="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．放大倍数支持：光学放大</w:t>
      </w: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20</w:t>
      </w:r>
      <w:r>
        <w:rPr>
          <w:rFonts w:hint="eastAsia" w:ascii="宋体" w:hAnsi="宋体" w:eastAsia="宋体"/>
          <w:color w:val="000000"/>
          <w:sz w:val="18"/>
          <w:szCs w:val="18"/>
        </w:rPr>
        <w:t>倍，数字放大</w:t>
      </w: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12</w:t>
      </w:r>
      <w:r>
        <w:rPr>
          <w:rFonts w:hint="eastAsia" w:ascii="宋体" w:hAnsi="宋体" w:eastAsia="宋体"/>
          <w:color w:val="000000"/>
          <w:sz w:val="18"/>
          <w:szCs w:val="18"/>
        </w:rPr>
        <w:t>倍，总放大倍数可达</w:t>
      </w:r>
      <w:r>
        <w:rPr>
          <w:rFonts w:hint="eastAsia" w:ascii="Calibri" w:hAnsi="Calibri" w:eastAsia="Calibri"/>
          <w:color w:val="000000"/>
          <w:sz w:val="18"/>
          <w:szCs w:val="18"/>
        </w:rPr>
        <w:t>60</w:t>
      </w:r>
      <w:r>
        <w:rPr>
          <w:rFonts w:hint="eastAsia" w:ascii="宋体" w:hAnsi="宋体" w:eastAsia="宋体"/>
          <w:color w:val="000000"/>
          <w:sz w:val="18"/>
          <w:szCs w:val="18"/>
        </w:rPr>
        <w:t>倍以上，支持连续变焦。</w:t>
      </w:r>
    </w:p>
    <w:p w14:paraId="4D002A9D">
      <w:pPr>
        <w:autoSpaceDE w:val="0"/>
        <w:autoSpaceDN w:val="0"/>
        <w:spacing w:before="83" w:after="0" w:line="376" w:lineRule="exact"/>
        <w:ind w:firstLine="180"/>
        <w:jc w:val="both"/>
        <w:rPr>
          <w:sz w:val="18"/>
          <w:szCs w:val="18"/>
        </w:rPr>
      </w:pPr>
      <w:r>
        <w:rPr>
          <w:rFonts w:hint="eastAsia" w:ascii="Calibri" w:hAnsi="Calibri" w:eastAsia="Calibri"/>
          <w:color w:val="000000"/>
          <w:sz w:val="18"/>
          <w:szCs w:val="18"/>
        </w:rPr>
        <w:t>1.4．</w:t>
      </w:r>
      <w:r>
        <w:rPr>
          <w:rFonts w:hint="eastAsia" w:ascii="宋体" w:hAnsi="宋体" w:eastAsia="宋体"/>
          <w:color w:val="000000"/>
          <w:sz w:val="18"/>
          <w:szCs w:val="18"/>
        </w:rPr>
        <w:t>有效操作距离</w:t>
      </w:r>
      <w:r>
        <w:rPr>
          <w:rFonts w:hint="eastAsia" w:ascii="Calibri" w:hAnsi="Calibri" w:eastAsia="Calibri"/>
          <w:color w:val="000000"/>
          <w:sz w:val="18"/>
          <w:szCs w:val="18"/>
        </w:rPr>
        <w:t>：80mm~380mm。</w:t>
      </w:r>
    </w:p>
    <w:p w14:paraId="1A9843E4">
      <w:pPr>
        <w:autoSpaceDE w:val="0"/>
        <w:autoSpaceDN w:val="0"/>
        <w:spacing w:before="0" w:after="0" w:line="376" w:lineRule="exact"/>
        <w:ind w:left="180" w:right="200" w:firstLine="28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5</w:t>
      </w:r>
      <w:r>
        <w:rPr>
          <w:rFonts w:hint="eastAsia" w:ascii="宋体" w:hAnsi="宋体" w:eastAsia="宋体"/>
          <w:color w:val="000000"/>
          <w:sz w:val="18"/>
          <w:szCs w:val="18"/>
        </w:rPr>
        <w:t>．视场范围：</w:t>
      </w:r>
      <w:r>
        <w:rPr>
          <w:rFonts w:hint="eastAsia" w:ascii="Calibri" w:hAnsi="Calibri" w:eastAsia="Calibri"/>
          <w:color w:val="000000"/>
          <w:sz w:val="18"/>
          <w:szCs w:val="18"/>
        </w:rPr>
        <w:t>≥Ø60mm(3X)，≥Ø6mm（</w:t>
      </w:r>
      <w:r>
        <w:rPr>
          <w:rFonts w:hint="eastAsia" w:ascii="宋体" w:hAnsi="宋体" w:eastAsia="宋体"/>
          <w:color w:val="000000"/>
          <w:sz w:val="18"/>
          <w:szCs w:val="18"/>
        </w:rPr>
        <w:t>最大时）；景深：</w:t>
      </w:r>
      <w:r>
        <w:rPr>
          <w:rFonts w:hint="eastAsia" w:ascii="Calibri" w:hAnsi="Calibri" w:eastAsia="Calibri"/>
          <w:color w:val="000000"/>
          <w:sz w:val="18"/>
          <w:szCs w:val="18"/>
        </w:rPr>
        <w:t xml:space="preserve"> ≥40mm(4X),≥5mm(18X)</w:t>
      </w:r>
    </w:p>
    <w:p w14:paraId="4EFFE05B">
      <w:pPr>
        <w:autoSpaceDE w:val="0"/>
        <w:autoSpaceDN w:val="0"/>
        <w:spacing w:before="0" w:after="0" w:line="376" w:lineRule="exact"/>
        <w:ind w:left="180" w:right="120" w:firstLine="28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6</w:t>
      </w:r>
      <w:r>
        <w:rPr>
          <w:rFonts w:hint="eastAsia" w:ascii="宋体" w:hAnsi="宋体" w:eastAsia="宋体"/>
          <w:color w:val="000000"/>
          <w:sz w:val="18"/>
          <w:szCs w:val="18"/>
        </w:rPr>
        <w:t>．色彩还原最大误差≤</w:t>
      </w:r>
      <w:r>
        <w:rPr>
          <w:rFonts w:hint="eastAsia" w:ascii="Calibri" w:hAnsi="Calibri" w:eastAsia="Calibri"/>
          <w:color w:val="000000"/>
          <w:sz w:val="18"/>
          <w:szCs w:val="18"/>
        </w:rPr>
        <w:t>20NBS</w:t>
      </w:r>
      <w:r>
        <w:rPr>
          <w:rFonts w:hint="eastAsia" w:ascii="宋体" w:hAnsi="宋体" w:eastAsia="宋体"/>
          <w:color w:val="000000"/>
          <w:sz w:val="18"/>
          <w:szCs w:val="18"/>
        </w:rPr>
        <w:t>，平均色彩还原误差≤</w:t>
      </w:r>
      <w:r>
        <w:rPr>
          <w:rFonts w:hint="eastAsia" w:ascii="Calibri" w:hAnsi="Calibri" w:eastAsia="Calibri"/>
          <w:color w:val="000000"/>
          <w:sz w:val="18"/>
          <w:szCs w:val="18"/>
        </w:rPr>
        <w:t>20NBS</w:t>
      </w:r>
      <w:r>
        <w:rPr>
          <w:rFonts w:hint="eastAsia" w:ascii="宋体" w:hAnsi="宋体" w:eastAsia="宋体"/>
          <w:color w:val="000000"/>
          <w:sz w:val="18"/>
          <w:szCs w:val="18"/>
        </w:rPr>
        <w:t>，饱和度值</w:t>
      </w:r>
      <w:r>
        <w:rPr>
          <w:rFonts w:hint="eastAsia" w:ascii="Calibri" w:hAnsi="Calibri" w:eastAsia="Calibri"/>
          <w:color w:val="000000"/>
          <w:sz w:val="18"/>
          <w:szCs w:val="18"/>
        </w:rPr>
        <w:t>95</w:t>
      </w:r>
      <w:r>
        <w:rPr>
          <w:rFonts w:hint="eastAsia" w:ascii="宋体" w:hAnsi="宋体" w:eastAsia="宋体"/>
          <w:color w:val="000000"/>
          <w:sz w:val="18"/>
          <w:szCs w:val="18"/>
        </w:rPr>
        <w:t>%-</w:t>
      </w:r>
      <w:r>
        <w:rPr>
          <w:rFonts w:hint="eastAsia" w:ascii="Calibri" w:hAnsi="Calibri" w:eastAsia="Calibri"/>
          <w:color w:val="000000"/>
          <w:sz w:val="18"/>
          <w:szCs w:val="18"/>
        </w:rPr>
        <w:t>120</w:t>
      </w:r>
      <w:r>
        <w:rPr>
          <w:rFonts w:hint="eastAsia" w:ascii="宋体" w:hAnsi="宋体" w:eastAsia="宋体"/>
          <w:color w:val="000000"/>
          <w:sz w:val="18"/>
          <w:szCs w:val="18"/>
        </w:rPr>
        <w:t>％之间。</w:t>
      </w:r>
    </w:p>
    <w:p w14:paraId="041A8F9A">
      <w:pPr>
        <w:autoSpaceDE w:val="0"/>
        <w:autoSpaceDN w:val="0"/>
        <w:spacing w:before="0" w:after="0" w:line="376" w:lineRule="exact"/>
        <w:ind w:left="180" w:right="180" w:firstLine="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7</w:t>
      </w:r>
      <w:r>
        <w:rPr>
          <w:rFonts w:hint="eastAsia" w:ascii="宋体" w:hAnsi="宋体" w:eastAsia="宋体"/>
          <w:color w:val="000000"/>
          <w:sz w:val="18"/>
          <w:szCs w:val="18"/>
        </w:rPr>
        <w:t>．高亮度的环形双光圈</w:t>
      </w:r>
      <w:r>
        <w:rPr>
          <w:rFonts w:hint="eastAsia" w:ascii="Calibri" w:hAnsi="Calibri" w:eastAsia="Calibri"/>
          <w:color w:val="000000"/>
          <w:sz w:val="18"/>
          <w:szCs w:val="18"/>
        </w:rPr>
        <w:t>LED</w:t>
      </w:r>
      <w:r>
        <w:rPr>
          <w:rFonts w:hint="eastAsia" w:ascii="宋体" w:hAnsi="宋体" w:eastAsia="宋体"/>
          <w:color w:val="000000"/>
          <w:sz w:val="18"/>
          <w:szCs w:val="18"/>
        </w:rPr>
        <w:t>光源，光源色温：</w:t>
      </w:r>
      <w:r>
        <w:rPr>
          <w:rFonts w:hint="eastAsia" w:ascii="Calibri" w:hAnsi="Calibri" w:eastAsia="Calibri"/>
          <w:color w:val="000000"/>
          <w:sz w:val="18"/>
          <w:szCs w:val="18"/>
        </w:rPr>
        <w:t>3000K~8000K。</w:t>
      </w:r>
    </w:p>
    <w:p w14:paraId="49A83C7A">
      <w:pPr>
        <w:wordWrap w:val="0"/>
        <w:autoSpaceDE w:val="0"/>
        <w:autoSpaceDN w:val="0"/>
        <w:spacing w:before="0" w:after="0" w:line="376" w:lineRule="exact"/>
        <w:ind w:left="180" w:right="220" w:firstLine="28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8</w:t>
      </w:r>
      <w:r>
        <w:rPr>
          <w:rFonts w:hint="eastAsia" w:ascii="宋体" w:hAnsi="宋体" w:eastAsia="宋体"/>
          <w:color w:val="000000"/>
          <w:sz w:val="18"/>
          <w:szCs w:val="18"/>
        </w:rPr>
        <w:t>．有快速自动聚焦和手动聚焦功能，手动聚焦支持独立按键控制的微距调节功能。</w:t>
      </w:r>
    </w:p>
    <w:p w14:paraId="60012608">
      <w:pPr>
        <w:wordWrap w:val="0"/>
        <w:autoSpaceDE w:val="0"/>
        <w:autoSpaceDN w:val="0"/>
        <w:spacing w:before="0" w:after="0" w:line="376" w:lineRule="exact"/>
        <w:ind w:firstLine="18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9</w:t>
      </w:r>
      <w:r>
        <w:rPr>
          <w:rFonts w:hint="eastAsia" w:ascii="宋体" w:hAnsi="宋体" w:eastAsia="宋体"/>
          <w:color w:val="000000"/>
          <w:sz w:val="18"/>
          <w:szCs w:val="18"/>
        </w:rPr>
        <w:t>．镜头带按键功能可实现自动图像采集。</w:t>
      </w:r>
    </w:p>
    <w:p w14:paraId="501E6328">
      <w:pPr>
        <w:wordWrap w:val="0"/>
        <w:autoSpaceDE w:val="0"/>
        <w:autoSpaceDN w:val="0"/>
        <w:spacing w:before="0" w:after="0" w:line="376" w:lineRule="exact"/>
        <w:ind w:firstLine="46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10</w:t>
      </w:r>
      <w:r>
        <w:rPr>
          <w:rFonts w:hint="eastAsia" w:ascii="宋体" w:hAnsi="宋体" w:eastAsia="宋体"/>
          <w:color w:val="000000"/>
          <w:sz w:val="18"/>
          <w:szCs w:val="18"/>
        </w:rPr>
        <w:t>．镜头手柄后方按键有定位与采集图像</w:t>
      </w:r>
    </w:p>
    <w:p w14:paraId="3E9AB2B4">
      <w:pPr>
        <w:wordWrap w:val="0"/>
        <w:autoSpaceDE w:val="0"/>
        <w:autoSpaceDN w:val="0"/>
        <w:spacing w:before="0" w:after="0" w:line="376" w:lineRule="exact"/>
        <w:ind w:firstLine="180"/>
        <w:jc w:val="both"/>
        <w:rPr>
          <w:sz w:val="18"/>
          <w:szCs w:val="18"/>
        </w:rPr>
      </w:pPr>
      <w:r>
        <w:rPr>
          <w:rFonts w:hint="eastAsia" w:ascii="宋体" w:hAnsi="宋体" w:eastAsia="宋体"/>
          <w:color w:val="000000"/>
          <w:sz w:val="18"/>
          <w:szCs w:val="18"/>
        </w:rPr>
        <w:t>两种功能，便于快速确定病变部位的位置。</w:t>
      </w:r>
    </w:p>
    <w:p w14:paraId="6BAC3C64">
      <w:pPr>
        <w:wordWrap w:val="0"/>
        <w:autoSpaceDE w:val="0"/>
        <w:autoSpaceDN w:val="0"/>
        <w:spacing w:before="0" w:after="0" w:line="363" w:lineRule="exact"/>
        <w:ind w:left="180" w:right="180" w:firstLine="28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11</w:t>
      </w:r>
      <w:r>
        <w:rPr>
          <w:rFonts w:hint="eastAsia" w:ascii="宋体" w:hAnsi="宋体" w:eastAsia="宋体"/>
          <w:color w:val="000000"/>
          <w:sz w:val="18"/>
          <w:szCs w:val="18"/>
        </w:rPr>
        <w:t>支持双脚踏开关控制，可控制图像采集、冻结并采集图像、计时显示、界面切换等功能，开关功能灵活组合，方便阴道镜检查操作使用。</w:t>
      </w:r>
    </w:p>
    <w:p w14:paraId="74BE2A92">
      <w:pPr>
        <w:wordWrap w:val="0"/>
        <w:autoSpaceDE w:val="0"/>
        <w:autoSpaceDN w:val="0"/>
        <w:spacing w:before="0" w:after="0" w:line="376" w:lineRule="exact"/>
        <w:ind w:firstLine="460"/>
        <w:jc w:val="both"/>
        <w:rPr>
          <w:sz w:val="18"/>
          <w:szCs w:val="18"/>
        </w:rPr>
      </w:pPr>
      <w:r>
        <w:rPr>
          <w:rFonts w:hint="eastAsia" w:ascii="Calibri" w:hAnsi="Calibri" w:eastAsia="Calibri"/>
          <w:color w:val="000000"/>
          <w:sz w:val="18"/>
          <w:szCs w:val="18"/>
        </w:rPr>
        <w:t>1</w:t>
      </w:r>
      <w:r>
        <w:rPr>
          <w:rFonts w:hint="eastAsia" w:ascii="宋体" w:hAnsi="宋体" w:eastAsia="宋体"/>
          <w:color w:val="000000"/>
          <w:sz w:val="18"/>
          <w:szCs w:val="18"/>
        </w:rPr>
        <w:t>.</w:t>
      </w:r>
      <w:r>
        <w:rPr>
          <w:rFonts w:hint="eastAsia" w:ascii="Calibri" w:hAnsi="Calibri" w:eastAsia="Calibri"/>
          <w:color w:val="000000"/>
          <w:sz w:val="18"/>
          <w:szCs w:val="18"/>
        </w:rPr>
        <w:t>12</w:t>
      </w:r>
      <w:r>
        <w:rPr>
          <w:rFonts w:hint="eastAsia" w:ascii="宋体" w:hAnsi="宋体" w:eastAsia="宋体"/>
          <w:color w:val="000000"/>
          <w:sz w:val="18"/>
          <w:szCs w:val="18"/>
        </w:rPr>
        <w:t>．采用全金属模具结构可升降直立式支</w:t>
      </w:r>
    </w:p>
    <w:p w14:paraId="4DFC746A">
      <w:pPr>
        <w:wordWrap w:val="0"/>
        <w:autoSpaceDE w:val="0"/>
        <w:autoSpaceDN w:val="0"/>
        <w:spacing w:before="0" w:after="0" w:line="376" w:lineRule="exact"/>
        <w:ind w:left="180" w:right="160" w:firstLine="0"/>
        <w:jc w:val="both"/>
        <w:rPr>
          <w:sz w:val="18"/>
          <w:szCs w:val="18"/>
        </w:rPr>
      </w:pPr>
      <w:r>
        <w:rPr>
          <w:rFonts w:hint="eastAsia" w:ascii="宋体" w:hAnsi="宋体" w:eastAsia="宋体"/>
          <w:color w:val="000000"/>
          <w:sz w:val="18"/>
          <w:szCs w:val="18"/>
        </w:rPr>
        <w:t>架，镜头可调，确保其使用的稳定性，升降固定的可靠性及操作的灵敏性。</w:t>
      </w:r>
    </w:p>
    <w:p w14:paraId="2850F591">
      <w:pPr>
        <w:wordWrap w:val="0"/>
        <w:autoSpaceDE w:val="0"/>
        <w:autoSpaceDN w:val="0"/>
        <w:spacing w:before="0" w:after="0" w:line="376" w:lineRule="exact"/>
        <w:ind w:firstLine="18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．阴道镜工作站性能参数：</w:t>
      </w:r>
    </w:p>
    <w:p w14:paraId="6E6B5DF4">
      <w:pPr>
        <w:wordWrap w:val="0"/>
        <w:autoSpaceDE w:val="0"/>
        <w:autoSpaceDN w:val="0"/>
        <w:spacing w:before="0" w:after="0" w:line="376" w:lineRule="exact"/>
        <w:ind w:left="180" w:right="180" w:firstLine="28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．具有自动提示患者随访管理功能，医护人员可根据患者需求转入预约。</w:t>
      </w:r>
    </w:p>
    <w:p w14:paraId="7B7DEF13">
      <w:pPr>
        <w:wordWrap w:val="0"/>
        <w:autoSpaceDE w:val="0"/>
        <w:autoSpaceDN w:val="0"/>
        <w:spacing w:before="0" w:after="0" w:line="376" w:lineRule="exact"/>
        <w:ind w:firstLine="46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2</w:t>
      </w:r>
      <w:r>
        <w:rPr>
          <w:rFonts w:hint="eastAsia" w:ascii="宋体" w:hAnsi="宋体" w:eastAsia="宋体"/>
          <w:color w:val="000000"/>
          <w:sz w:val="18"/>
          <w:szCs w:val="18"/>
        </w:rPr>
        <w:t>．提供符合临床操作工作流的软件功能模</w:t>
      </w:r>
    </w:p>
    <w:p w14:paraId="006D9C13">
      <w:pPr>
        <w:wordWrap w:val="0"/>
        <w:autoSpaceDE w:val="0"/>
        <w:autoSpaceDN w:val="0"/>
        <w:spacing w:before="0" w:after="0" w:line="376" w:lineRule="exact"/>
        <w:ind w:left="180" w:right="180" w:firstLine="0"/>
        <w:jc w:val="both"/>
        <w:rPr>
          <w:sz w:val="18"/>
          <w:szCs w:val="18"/>
        </w:rPr>
      </w:pPr>
      <w:r>
        <w:rPr>
          <w:rFonts w:hint="eastAsia" w:ascii="宋体" w:hAnsi="宋体" w:eastAsia="宋体"/>
          <w:color w:val="000000"/>
          <w:sz w:val="18"/>
          <w:szCs w:val="18"/>
        </w:rPr>
        <w:t>块设计，具有功能模块自定义功能；医生可以根据操作习惯，自定义软件操作工作流。</w:t>
      </w:r>
    </w:p>
    <w:p w14:paraId="2AB8B32C">
      <w:pPr>
        <w:wordWrap w:val="0"/>
        <w:autoSpaceDE w:val="0"/>
        <w:autoSpaceDN w:val="0"/>
        <w:spacing w:before="0" w:after="0" w:line="376" w:lineRule="exact"/>
        <w:ind w:firstLine="46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．能将阴道镜检查过程中所采集的图像按</w:t>
      </w:r>
    </w:p>
    <w:p w14:paraId="24AA7FE9">
      <w:pPr>
        <w:wordWrap w:val="0"/>
        <w:autoSpaceDE w:val="0"/>
        <w:autoSpaceDN w:val="0"/>
        <w:spacing w:before="0" w:after="0" w:line="389" w:lineRule="exact"/>
        <w:ind w:firstLine="140"/>
        <w:jc w:val="both"/>
        <w:rPr>
          <w:sz w:val="18"/>
          <w:szCs w:val="18"/>
        </w:rPr>
      </w:pPr>
      <w:r>
        <w:rPr>
          <w:rFonts w:hint="eastAsia" w:ascii="宋体" w:hAnsi="宋体" w:eastAsia="宋体"/>
          <w:color w:val="000000"/>
          <w:sz w:val="18"/>
          <w:szCs w:val="18"/>
        </w:rPr>
        <w:t>时间顺序同屏显（像数量≥</w:t>
      </w:r>
      <w:r>
        <w:rPr>
          <w:rFonts w:hint="eastAsia" w:ascii="Calibri" w:hAnsi="Calibri" w:eastAsia="Calibri"/>
          <w:color w:val="000000"/>
          <w:sz w:val="18"/>
          <w:szCs w:val="18"/>
        </w:rPr>
        <w:t>6</w:t>
      </w:r>
      <w:r>
        <w:rPr>
          <w:rFonts w:hint="eastAsia" w:ascii="宋体" w:hAnsi="宋体" w:eastAsia="宋体"/>
          <w:color w:val="000000"/>
          <w:sz w:val="18"/>
          <w:szCs w:val="18"/>
        </w:rPr>
        <w:t>幅），并且可以通过镜头扣手按键一键控制，方便医生对比分析患者病变部位醋白变化和碘染色的关联。</w:t>
      </w:r>
    </w:p>
    <w:p w14:paraId="21BD94BF">
      <w:pPr>
        <w:wordWrap w:val="0"/>
        <w:autoSpaceDE w:val="0"/>
        <w:autoSpaceDN w:val="0"/>
        <w:spacing w:before="0" w:after="0" w:line="389" w:lineRule="exact"/>
        <w:ind w:left="140" w:right="80" w:firstLine="30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4</w:t>
      </w:r>
      <w:r>
        <w:rPr>
          <w:rFonts w:hint="eastAsia" w:ascii="宋体" w:hAnsi="宋体" w:eastAsia="宋体"/>
          <w:color w:val="000000"/>
          <w:sz w:val="18"/>
          <w:szCs w:val="18"/>
        </w:rPr>
        <w:t>．具有语音播报操作提示功能，自动给出临床检查流的操作提示信息，便于临床规范阴道镜检查操作。</w:t>
      </w:r>
    </w:p>
    <w:p w14:paraId="26A6AA76">
      <w:pPr>
        <w:autoSpaceDE w:val="0"/>
        <w:autoSpaceDN w:val="0"/>
        <w:spacing w:before="0" w:after="0" w:line="389" w:lineRule="exact"/>
        <w:ind w:left="140" w:right="80" w:firstLine="0"/>
        <w:jc w:val="both"/>
        <w:rPr>
          <w:sz w:val="18"/>
          <w:szCs w:val="18"/>
        </w:rPr>
      </w:pPr>
      <w:r>
        <w:rPr>
          <w:rFonts w:hint="eastAsia" w:ascii="Calibri" w:hAnsi="Calibri" w:eastAsia="Calibri"/>
          <w:color w:val="000000"/>
          <w:sz w:val="18"/>
          <w:szCs w:val="18"/>
        </w:rPr>
        <w:t>2.5．</w:t>
      </w:r>
      <w:r>
        <w:rPr>
          <w:rFonts w:hint="eastAsia" w:ascii="宋体" w:hAnsi="宋体" w:eastAsia="宋体"/>
          <w:color w:val="000000"/>
          <w:sz w:val="18"/>
          <w:szCs w:val="18"/>
        </w:rPr>
        <w:t>提供</w:t>
      </w:r>
      <w:r>
        <w:rPr>
          <w:rFonts w:hint="eastAsia" w:ascii="Calibri" w:hAnsi="Calibri" w:eastAsia="Calibri"/>
          <w:color w:val="000000"/>
          <w:sz w:val="18"/>
          <w:szCs w:val="18"/>
        </w:rPr>
        <w:t>IFCPC2011/ASCCP 2017</w:t>
      </w:r>
      <w:r>
        <w:rPr>
          <w:rFonts w:hint="eastAsia" w:ascii="宋体" w:hAnsi="宋体" w:eastAsia="宋体"/>
          <w:color w:val="000000"/>
          <w:sz w:val="18"/>
          <w:szCs w:val="18"/>
        </w:rPr>
        <w:t>阴道镜专业术语以及临床参考图谱，具有国际认可的</w:t>
      </w:r>
      <w:r>
        <w:rPr>
          <w:rFonts w:hint="eastAsia" w:ascii="Calibri" w:hAnsi="Calibri" w:eastAsia="Calibri"/>
          <w:color w:val="000000"/>
          <w:sz w:val="18"/>
          <w:szCs w:val="18"/>
        </w:rPr>
        <w:t>RCI</w:t>
      </w:r>
      <w:r>
        <w:rPr>
          <w:rFonts w:hint="eastAsia" w:ascii="宋体" w:hAnsi="宋体" w:eastAsia="宋体"/>
          <w:color w:val="000000"/>
          <w:sz w:val="18"/>
          <w:szCs w:val="18"/>
        </w:rPr>
        <w:t>评估和</w:t>
      </w:r>
      <w:r>
        <w:rPr>
          <w:rFonts w:hint="eastAsia" w:ascii="Calibri" w:hAnsi="Calibri" w:eastAsia="Calibri"/>
          <w:color w:val="000000"/>
          <w:sz w:val="18"/>
          <w:szCs w:val="18"/>
        </w:rPr>
        <w:t>Swede</w:t>
      </w:r>
      <w:r>
        <w:rPr>
          <w:rFonts w:hint="eastAsia" w:ascii="宋体" w:hAnsi="宋体" w:eastAsia="宋体"/>
          <w:color w:val="000000"/>
          <w:sz w:val="18"/>
          <w:szCs w:val="18"/>
        </w:rPr>
        <w:t>评估</w:t>
      </w:r>
      <w:r>
        <w:rPr>
          <w:rFonts w:hint="eastAsia" w:ascii="Calibri" w:hAnsi="Calibri" w:eastAsia="Calibri"/>
          <w:color w:val="000000"/>
          <w:sz w:val="18"/>
          <w:szCs w:val="18"/>
        </w:rPr>
        <w:t>。</w:t>
      </w:r>
    </w:p>
    <w:p w14:paraId="11461BA3">
      <w:pPr>
        <w:wordWrap w:val="0"/>
        <w:autoSpaceDE w:val="0"/>
        <w:autoSpaceDN w:val="0"/>
        <w:spacing w:before="0" w:after="0" w:line="320" w:lineRule="exact"/>
        <w:ind w:left="140" w:right="80" w:firstLine="30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6</w:t>
      </w:r>
      <w:r>
        <w:rPr>
          <w:rFonts w:hint="eastAsia" w:ascii="宋体" w:hAnsi="宋体" w:eastAsia="宋体"/>
          <w:color w:val="000000"/>
          <w:sz w:val="18"/>
          <w:szCs w:val="18"/>
        </w:rPr>
        <w:t>．具有独立的历史检查记录显示区。录入患者信息后将自动加载同一患者所有历史检查记录，方便医生快速浏览和查阅患者历史检查。</w:t>
      </w:r>
    </w:p>
    <w:p w14:paraId="6CE77E6B">
      <w:pPr>
        <w:wordWrap w:val="0"/>
        <w:autoSpaceDE w:val="0"/>
        <w:autoSpaceDN w:val="0"/>
        <w:spacing w:before="0" w:after="0" w:line="389" w:lineRule="exact"/>
        <w:ind w:firstLine="44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7</w:t>
      </w:r>
      <w:r>
        <w:rPr>
          <w:rFonts w:hint="eastAsia" w:ascii="宋体" w:hAnsi="宋体" w:eastAsia="宋体"/>
          <w:color w:val="000000"/>
          <w:sz w:val="18"/>
          <w:szCs w:val="18"/>
        </w:rPr>
        <w:t>．在观察检查页面具有独立的历史检查图</w:t>
      </w:r>
    </w:p>
    <w:p w14:paraId="7293CBB3">
      <w:pPr>
        <w:wordWrap w:val="0"/>
        <w:autoSpaceDE w:val="0"/>
        <w:autoSpaceDN w:val="0"/>
        <w:spacing w:before="0" w:after="0" w:line="389" w:lineRule="exact"/>
        <w:ind w:left="140" w:right="180" w:firstLine="0"/>
        <w:jc w:val="both"/>
        <w:rPr>
          <w:sz w:val="18"/>
          <w:szCs w:val="18"/>
        </w:rPr>
      </w:pPr>
      <w:r>
        <w:rPr>
          <w:rFonts w:hint="eastAsia" w:ascii="宋体" w:hAnsi="宋体" w:eastAsia="宋体"/>
          <w:color w:val="000000"/>
          <w:sz w:val="18"/>
          <w:szCs w:val="18"/>
        </w:rPr>
        <w:t>像显示框。同一患者历史检查图像会自动加载，并与当前检查图像并排显示，便于医生对比分析、追溯患者检查治疗过程。</w:t>
      </w:r>
    </w:p>
    <w:p w14:paraId="2703DCF6">
      <w:pPr>
        <w:wordWrap w:val="0"/>
        <w:autoSpaceDE w:val="0"/>
        <w:autoSpaceDN w:val="0"/>
        <w:spacing w:before="0" w:after="0" w:line="376" w:lineRule="exact"/>
        <w:ind w:left="140" w:right="100" w:firstLine="30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8</w:t>
      </w:r>
      <w:r>
        <w:rPr>
          <w:rFonts w:hint="eastAsia" w:ascii="宋体" w:hAnsi="宋体" w:eastAsia="宋体"/>
          <w:color w:val="000000"/>
          <w:sz w:val="18"/>
          <w:szCs w:val="18"/>
        </w:rPr>
        <w:t>．可对阴道镜检查、手术治疗进行针对性的记录和随访管理，支持自定义报告模板，提交患者打印报告后系统自动生成</w:t>
      </w:r>
      <w:r>
        <w:rPr>
          <w:rFonts w:hint="eastAsia" w:ascii="Calibri" w:hAnsi="Calibri" w:eastAsia="Calibri"/>
          <w:color w:val="000000"/>
          <w:sz w:val="18"/>
          <w:szCs w:val="18"/>
        </w:rPr>
        <w:t>PDF</w:t>
      </w:r>
      <w:r>
        <w:rPr>
          <w:rFonts w:hint="eastAsia" w:ascii="宋体" w:hAnsi="宋体" w:eastAsia="宋体"/>
          <w:color w:val="000000"/>
          <w:sz w:val="18"/>
          <w:szCs w:val="18"/>
        </w:rPr>
        <w:t>文件备份。</w:t>
      </w:r>
    </w:p>
    <w:p w14:paraId="1EBD4414">
      <w:pPr>
        <w:wordWrap w:val="0"/>
        <w:autoSpaceDE w:val="0"/>
        <w:autoSpaceDN w:val="0"/>
        <w:spacing w:before="0" w:after="0" w:line="389" w:lineRule="exact"/>
        <w:ind w:left="140" w:right="100" w:firstLine="30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9</w:t>
      </w:r>
      <w:r>
        <w:rPr>
          <w:rFonts w:hint="eastAsia" w:ascii="宋体" w:hAnsi="宋体" w:eastAsia="宋体"/>
          <w:color w:val="000000"/>
          <w:sz w:val="18"/>
          <w:szCs w:val="18"/>
        </w:rPr>
        <w:t>．具有打印报告、编辑＆报告两种报告生成模式。支持可编辑式报告模板，并且可对报告中图像进行处理。</w:t>
      </w:r>
    </w:p>
    <w:p w14:paraId="4F42F360">
      <w:pPr>
        <w:wordWrap w:val="0"/>
        <w:autoSpaceDE w:val="0"/>
        <w:autoSpaceDN w:val="0"/>
        <w:spacing w:before="0" w:after="0" w:line="389" w:lineRule="exact"/>
        <w:ind w:left="140" w:right="80" w:firstLine="0"/>
        <w:jc w:val="both"/>
        <w:rPr>
          <w:sz w:val="18"/>
          <w:szCs w:val="18"/>
        </w:rPr>
      </w:pPr>
      <w:r>
        <w:rPr>
          <w:rFonts w:hint="eastAsia" w:ascii="Calibri" w:hAnsi="Calibri" w:eastAsia="Calibri"/>
          <w:color w:val="000000"/>
          <w:sz w:val="18"/>
          <w:szCs w:val="18"/>
        </w:rPr>
        <w:t>2</w:t>
      </w:r>
      <w:r>
        <w:rPr>
          <w:rFonts w:hint="eastAsia" w:ascii="宋体" w:hAnsi="宋体" w:eastAsia="宋体"/>
          <w:color w:val="000000"/>
          <w:sz w:val="18"/>
          <w:szCs w:val="18"/>
        </w:rPr>
        <w:t>.</w:t>
      </w:r>
      <w:r>
        <w:rPr>
          <w:rFonts w:hint="eastAsia" w:ascii="Calibri" w:hAnsi="Calibri" w:eastAsia="Calibri"/>
          <w:color w:val="000000"/>
          <w:sz w:val="18"/>
          <w:szCs w:val="18"/>
        </w:rPr>
        <w:t>10</w:t>
      </w:r>
      <w:r>
        <w:rPr>
          <w:rFonts w:hint="eastAsia" w:ascii="宋体" w:hAnsi="宋体" w:eastAsia="宋体"/>
          <w:color w:val="000000"/>
          <w:sz w:val="18"/>
          <w:szCs w:val="18"/>
        </w:rPr>
        <w:t>．可对拟诊结果、病理结果、实验室检查结果、医生工作量等进行统计分析，统计结果可通过饼图、直方图和折线图形式进行显示，并可输出到</w:t>
      </w:r>
      <w:r>
        <w:rPr>
          <w:rFonts w:hint="eastAsia" w:ascii="Calibri" w:hAnsi="Calibri" w:eastAsia="Calibri"/>
          <w:color w:val="000000"/>
          <w:sz w:val="18"/>
          <w:szCs w:val="18"/>
        </w:rPr>
        <w:t>Excel</w:t>
      </w:r>
      <w:r>
        <w:rPr>
          <w:rFonts w:hint="eastAsia" w:ascii="宋体" w:hAnsi="宋体" w:eastAsia="宋体"/>
          <w:color w:val="000000"/>
          <w:sz w:val="18"/>
          <w:szCs w:val="18"/>
        </w:rPr>
        <w:t>表</w:t>
      </w:r>
      <w:r>
        <w:rPr>
          <w:rFonts w:hint="eastAsia" w:ascii="Calibri" w:hAnsi="Calibri" w:eastAsia="Calibri"/>
          <w:color w:val="000000"/>
          <w:sz w:val="18"/>
          <w:szCs w:val="18"/>
        </w:rPr>
        <w:t>。</w:t>
      </w:r>
    </w:p>
    <w:p w14:paraId="5227C1ED">
      <w:pPr>
        <w:wordWrap w:val="0"/>
        <w:autoSpaceDE w:val="0"/>
        <w:autoSpaceDN w:val="0"/>
        <w:spacing w:before="0" w:after="0" w:line="389" w:lineRule="exact"/>
        <w:ind w:firstLine="140"/>
        <w:jc w:val="both"/>
        <w:rPr>
          <w:sz w:val="18"/>
          <w:szCs w:val="18"/>
        </w:rPr>
      </w:pPr>
      <w:r>
        <w:rPr>
          <w:rFonts w:hint="eastAsia" w:ascii="Calibri" w:hAnsi="Calibri" w:eastAsia="Calibri"/>
          <w:color w:val="000000"/>
          <w:sz w:val="18"/>
          <w:szCs w:val="18"/>
        </w:rPr>
        <w:t>3</w:t>
      </w:r>
      <w:r>
        <w:rPr>
          <w:rFonts w:hint="eastAsia" w:ascii="宋体" w:hAnsi="宋体" w:eastAsia="宋体"/>
          <w:color w:val="000000"/>
          <w:sz w:val="18"/>
          <w:szCs w:val="18"/>
        </w:rPr>
        <w:t>．工作站数据库及拓展功能：</w:t>
      </w:r>
    </w:p>
    <w:p w14:paraId="6C289677">
      <w:pPr>
        <w:wordWrap w:val="0"/>
        <w:autoSpaceDE w:val="0"/>
        <w:autoSpaceDN w:val="0"/>
        <w:spacing w:before="0" w:after="0" w:line="389" w:lineRule="exact"/>
        <w:ind w:left="140" w:right="100" w:firstLine="300"/>
        <w:jc w:val="both"/>
        <w:rPr>
          <w:sz w:val="18"/>
          <w:szCs w:val="18"/>
        </w:rPr>
      </w:pPr>
      <w:r>
        <w:rPr>
          <w:rFonts w:hint="eastAsia" w:ascii="Calibri" w:hAnsi="Calibri" w:eastAsia="Calibri"/>
          <w:color w:val="000000"/>
          <w:sz w:val="18"/>
          <w:szCs w:val="18"/>
        </w:rPr>
        <w:t>3</w:t>
      </w: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．支持身份证读取功能，可刷病人身份证直接读取病人身份证病人姓名及身份证号码。</w:t>
      </w:r>
    </w:p>
    <w:p w14:paraId="0A9F0BD4">
      <w:pPr>
        <w:autoSpaceDE w:val="0"/>
        <w:autoSpaceDN w:val="0"/>
        <w:spacing w:before="0" w:after="0" w:line="389" w:lineRule="exact"/>
        <w:ind w:left="140" w:firstLine="0"/>
        <w:jc w:val="both"/>
        <w:rPr>
          <w:sz w:val="18"/>
          <w:szCs w:val="18"/>
        </w:rPr>
      </w:pPr>
      <w:r>
        <w:rPr>
          <w:rFonts w:hint="eastAsia" w:ascii="Calibri" w:hAnsi="Calibri" w:eastAsia="Calibri"/>
          <w:color w:val="000000"/>
          <w:sz w:val="18"/>
          <w:szCs w:val="18"/>
        </w:rPr>
        <w:t>3.2．</w:t>
      </w:r>
      <w:r>
        <w:rPr>
          <w:rFonts w:hint="eastAsia" w:ascii="宋体" w:hAnsi="宋体" w:eastAsia="宋体"/>
          <w:color w:val="000000"/>
          <w:sz w:val="18"/>
          <w:szCs w:val="18"/>
        </w:rPr>
        <w:t>具有</w:t>
      </w:r>
      <w:r>
        <w:rPr>
          <w:rFonts w:hint="eastAsia" w:ascii="Calibri" w:hAnsi="Calibri" w:eastAsia="Calibri"/>
          <w:color w:val="000000"/>
          <w:sz w:val="18"/>
          <w:szCs w:val="18"/>
        </w:rPr>
        <w:t xml:space="preserve">DICOM3.0 </w:t>
      </w:r>
      <w:r>
        <w:rPr>
          <w:rFonts w:hint="eastAsia" w:ascii="宋体" w:hAnsi="宋体" w:eastAsia="宋体"/>
          <w:color w:val="000000"/>
          <w:sz w:val="18"/>
          <w:szCs w:val="18"/>
        </w:rPr>
        <w:t>数据交换接口</w:t>
      </w:r>
      <w:r>
        <w:rPr>
          <w:rFonts w:hint="eastAsia" w:ascii="Calibri" w:hAnsi="Calibri" w:eastAsia="Calibri"/>
          <w:color w:val="000000"/>
          <w:sz w:val="18"/>
          <w:szCs w:val="18"/>
        </w:rPr>
        <w:t>。</w:t>
      </w:r>
      <w:r>
        <w:rPr>
          <w:rFonts w:hint="eastAsia" w:ascii="宋体" w:hAnsi="宋体" w:eastAsia="宋体"/>
          <w:color w:val="000000"/>
          <w:sz w:val="18"/>
          <w:szCs w:val="18"/>
        </w:rPr>
        <w:t>提供</w:t>
      </w:r>
      <w:r>
        <w:rPr>
          <w:rFonts w:hint="eastAsia" w:ascii="Calibri" w:hAnsi="Calibri" w:eastAsia="Calibri"/>
          <w:color w:val="000000"/>
          <w:sz w:val="18"/>
          <w:szCs w:val="18"/>
        </w:rPr>
        <w:t>DICOM worklist, DICOM verify, DICOM storage，</w:t>
      </w:r>
      <w:r>
        <w:rPr>
          <w:rFonts w:hint="eastAsia" w:ascii="宋体" w:hAnsi="宋体" w:eastAsia="宋体"/>
          <w:color w:val="000000"/>
          <w:sz w:val="18"/>
          <w:szCs w:val="18"/>
        </w:rPr>
        <w:t>方便对接医院</w:t>
      </w:r>
      <w:r>
        <w:rPr>
          <w:rFonts w:hint="eastAsia" w:ascii="Calibri" w:hAnsi="Calibri" w:eastAsia="Calibri"/>
          <w:color w:val="000000"/>
          <w:sz w:val="18"/>
          <w:szCs w:val="18"/>
        </w:rPr>
        <w:t>HIS/PASC</w:t>
      </w:r>
      <w:r>
        <w:rPr>
          <w:rFonts w:hint="eastAsia" w:ascii="宋体" w:hAnsi="宋体" w:eastAsia="宋体"/>
          <w:color w:val="000000"/>
          <w:sz w:val="18"/>
          <w:szCs w:val="18"/>
        </w:rPr>
        <w:t>系统</w:t>
      </w:r>
    </w:p>
    <w:p w14:paraId="283E2060">
      <w:pPr>
        <w:wordWrap w:val="0"/>
        <w:autoSpaceDE w:val="0"/>
        <w:autoSpaceDN w:val="0"/>
        <w:spacing w:before="0" w:after="0" w:line="389" w:lineRule="exact"/>
        <w:ind w:left="140" w:right="180" w:firstLine="300"/>
        <w:jc w:val="both"/>
        <w:rPr>
          <w:sz w:val="18"/>
          <w:szCs w:val="18"/>
        </w:rPr>
      </w:pPr>
      <w:r>
        <w:rPr>
          <w:rFonts w:hint="eastAsia" w:ascii="Calibri" w:hAnsi="Calibri" w:eastAsia="Calibri"/>
          <w:color w:val="000000"/>
          <w:sz w:val="18"/>
          <w:szCs w:val="18"/>
        </w:rPr>
        <w:t>3</w:t>
      </w: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．可以支持标准</w:t>
      </w:r>
      <w:r>
        <w:rPr>
          <w:rFonts w:hint="eastAsia" w:ascii="Calibri" w:hAnsi="Calibri" w:eastAsia="Calibri"/>
          <w:color w:val="000000"/>
          <w:sz w:val="18"/>
          <w:szCs w:val="18"/>
        </w:rPr>
        <w:t>HL7</w:t>
      </w:r>
      <w:r>
        <w:rPr>
          <w:rFonts w:hint="eastAsia" w:ascii="宋体" w:hAnsi="宋体" w:eastAsia="宋体"/>
          <w:color w:val="000000"/>
          <w:sz w:val="18"/>
          <w:szCs w:val="18"/>
        </w:rPr>
        <w:t>协议，支持</w:t>
      </w:r>
      <w:r>
        <w:rPr>
          <w:rFonts w:hint="eastAsia" w:ascii="Calibri" w:hAnsi="Calibri" w:eastAsia="Calibri"/>
          <w:color w:val="000000"/>
          <w:sz w:val="18"/>
          <w:szCs w:val="18"/>
        </w:rPr>
        <w:t>LDAP</w:t>
      </w:r>
      <w:r>
        <w:rPr>
          <w:rFonts w:hint="eastAsia" w:ascii="宋体" w:hAnsi="宋体" w:eastAsia="宋体"/>
          <w:color w:val="000000"/>
          <w:sz w:val="18"/>
          <w:szCs w:val="18"/>
        </w:rPr>
        <w:t>集成登陆，方便医院账号管理。</w:t>
      </w:r>
    </w:p>
    <w:p w14:paraId="349F884B">
      <w:pPr>
        <w:autoSpaceDE w:val="0"/>
        <w:autoSpaceDN w:val="0"/>
        <w:spacing w:before="0" w:after="0" w:line="376" w:lineRule="exact"/>
        <w:jc w:val="both"/>
        <w:rPr>
          <w:sz w:val="18"/>
          <w:szCs w:val="18"/>
        </w:rPr>
      </w:pPr>
      <w:r>
        <w:rPr>
          <w:rFonts w:hint="eastAsia" w:ascii="Calibri" w:hAnsi="Calibri" w:eastAsia="Calibri"/>
          <w:color w:val="000000"/>
          <w:sz w:val="18"/>
          <w:szCs w:val="18"/>
        </w:rPr>
        <w:t>3</w:t>
      </w:r>
      <w:r>
        <w:rPr>
          <w:rFonts w:hint="eastAsia" w:ascii="宋体" w:hAnsi="宋体" w:eastAsia="宋体"/>
          <w:color w:val="000000"/>
          <w:sz w:val="18"/>
          <w:szCs w:val="18"/>
        </w:rPr>
        <w:t>.</w:t>
      </w:r>
      <w:r>
        <w:rPr>
          <w:rFonts w:hint="eastAsia" w:ascii="Calibri" w:hAnsi="Calibri" w:eastAsia="Calibri"/>
          <w:color w:val="000000"/>
          <w:sz w:val="18"/>
          <w:szCs w:val="18"/>
        </w:rPr>
        <w:t>4</w:t>
      </w:r>
      <w:r>
        <w:rPr>
          <w:rFonts w:hint="eastAsia" w:ascii="宋体" w:hAnsi="宋体" w:eastAsia="宋体"/>
          <w:color w:val="000000"/>
          <w:sz w:val="18"/>
          <w:szCs w:val="18"/>
        </w:rPr>
        <w:t>．提供网络接口，便于后续拓展升级网络应用。</w:t>
      </w:r>
    </w:p>
    <w:p w14:paraId="0A4CEBBD">
      <w:pPr>
        <w:wordWrap w:val="0"/>
        <w:autoSpaceDE w:val="0"/>
        <w:autoSpaceDN w:val="0"/>
        <w:spacing w:before="0" w:after="0" w:line="376" w:lineRule="exact"/>
        <w:ind w:left="220" w:right="120" w:firstLine="0"/>
        <w:jc w:val="both"/>
        <w:rPr>
          <w:sz w:val="18"/>
          <w:szCs w:val="18"/>
        </w:rPr>
      </w:pPr>
      <w:r>
        <w:rPr>
          <w:rFonts w:hint="eastAsia" w:ascii="Calibri" w:hAnsi="Calibri" w:eastAsia="Calibri"/>
          <w:color w:val="000000"/>
          <w:sz w:val="18"/>
          <w:szCs w:val="18"/>
        </w:rPr>
        <w:t>4</w:t>
      </w: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．镜头和工作站同时在国内组合注册，是同一个产品名称</w:t>
      </w:r>
    </w:p>
    <w:p w14:paraId="08F50407">
      <w:pPr>
        <w:wordWrap w:val="0"/>
        <w:autoSpaceDE w:val="0"/>
        <w:autoSpaceDN w:val="0"/>
        <w:spacing w:before="83" w:after="0" w:line="376" w:lineRule="exact"/>
        <w:ind w:firstLine="220"/>
        <w:jc w:val="both"/>
        <w:rPr>
          <w:sz w:val="18"/>
          <w:szCs w:val="18"/>
        </w:rPr>
      </w:pPr>
      <w:r>
        <w:rPr>
          <w:rFonts w:hint="eastAsia" w:ascii="宋体" w:hAnsi="宋体" w:eastAsia="宋体"/>
          <w:color w:val="000000"/>
          <w:sz w:val="18"/>
          <w:szCs w:val="18"/>
        </w:rPr>
        <w:t>四、配置清单（包括但不限于该清单的配置）</w:t>
      </w:r>
    </w:p>
    <w:p w14:paraId="792CCA22">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 xml:space="preserve">电子阴道镜镜头：         </w:t>
      </w:r>
      <w:r>
        <w:rPr>
          <w:rFonts w:hint="eastAsia" w:ascii="Calibri" w:hAnsi="Calibri" w:eastAsia="Calibri"/>
          <w:color w:val="000000"/>
          <w:sz w:val="18"/>
          <w:szCs w:val="18"/>
        </w:rPr>
        <w:t>1</w:t>
      </w:r>
      <w:r>
        <w:rPr>
          <w:rFonts w:hint="eastAsia" w:ascii="宋体" w:hAnsi="宋体" w:eastAsia="宋体"/>
          <w:color w:val="000000"/>
          <w:sz w:val="18"/>
          <w:szCs w:val="18"/>
        </w:rPr>
        <w:t>个</w:t>
      </w:r>
    </w:p>
    <w:p w14:paraId="6760E211">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 xml:space="preserve">直立支架：               </w:t>
      </w:r>
      <w:r>
        <w:rPr>
          <w:rFonts w:hint="eastAsia" w:ascii="Calibri" w:hAnsi="Calibri" w:eastAsia="Calibri"/>
          <w:color w:val="000000"/>
          <w:sz w:val="18"/>
          <w:szCs w:val="18"/>
        </w:rPr>
        <w:t>1</w:t>
      </w:r>
      <w:r>
        <w:rPr>
          <w:rFonts w:hint="eastAsia" w:ascii="宋体" w:hAnsi="宋体" w:eastAsia="宋体"/>
          <w:color w:val="000000"/>
          <w:sz w:val="18"/>
          <w:szCs w:val="18"/>
        </w:rPr>
        <w:t>个</w:t>
      </w:r>
    </w:p>
    <w:p w14:paraId="784BCE92">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阴道镜工作站（包含台车、电脑主机、显示屏、</w:t>
      </w:r>
    </w:p>
    <w:p w14:paraId="1492E510">
      <w:pPr>
        <w:wordWrap w:val="0"/>
        <w:autoSpaceDE w:val="0"/>
        <w:autoSpaceDN w:val="0"/>
        <w:spacing w:before="0" w:after="0" w:line="376" w:lineRule="exact"/>
        <w:ind w:firstLine="220"/>
        <w:jc w:val="both"/>
        <w:rPr>
          <w:sz w:val="18"/>
          <w:szCs w:val="18"/>
        </w:rPr>
      </w:pPr>
      <w:r>
        <w:rPr>
          <w:rFonts w:hint="eastAsia" w:ascii="Calibri" w:hAnsi="Calibri" w:eastAsia="Calibri"/>
          <w:color w:val="000000"/>
          <w:sz w:val="18"/>
          <w:szCs w:val="18"/>
        </w:rPr>
        <w:t>Win10</w:t>
      </w:r>
      <w:r>
        <w:rPr>
          <w:rFonts w:hint="eastAsia" w:ascii="宋体" w:hAnsi="宋体" w:eastAsia="宋体"/>
          <w:color w:val="000000"/>
          <w:sz w:val="18"/>
          <w:szCs w:val="18"/>
        </w:rPr>
        <w:t xml:space="preserve">系统和阴道镜专业软件等）：   </w:t>
      </w:r>
      <w:r>
        <w:rPr>
          <w:rFonts w:hint="eastAsia" w:ascii="Calibri" w:hAnsi="Calibri" w:eastAsia="Calibri"/>
          <w:color w:val="000000"/>
          <w:sz w:val="18"/>
          <w:szCs w:val="18"/>
        </w:rPr>
        <w:t>1</w:t>
      </w:r>
      <w:r>
        <w:rPr>
          <w:rFonts w:hint="eastAsia" w:ascii="宋体" w:hAnsi="宋体" w:eastAsia="宋体"/>
          <w:color w:val="000000"/>
          <w:sz w:val="18"/>
          <w:szCs w:val="18"/>
        </w:rPr>
        <w:t>套</w:t>
      </w:r>
    </w:p>
    <w:p w14:paraId="3ABC778D">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 xml:space="preserve">脚踏开关：               </w:t>
      </w:r>
      <w:r>
        <w:rPr>
          <w:rFonts w:hint="eastAsia" w:ascii="Calibri" w:hAnsi="Calibri" w:eastAsia="Calibri"/>
          <w:color w:val="000000"/>
          <w:sz w:val="18"/>
          <w:szCs w:val="18"/>
        </w:rPr>
        <w:t>1</w:t>
      </w:r>
      <w:r>
        <w:rPr>
          <w:rFonts w:hint="eastAsia" w:ascii="宋体" w:hAnsi="宋体" w:eastAsia="宋体"/>
          <w:color w:val="000000"/>
          <w:sz w:val="18"/>
          <w:szCs w:val="18"/>
        </w:rPr>
        <w:t>个</w:t>
      </w:r>
    </w:p>
    <w:p w14:paraId="0924E8DC">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 xml:space="preserve">打印机：                 </w:t>
      </w:r>
      <w:r>
        <w:rPr>
          <w:rFonts w:hint="eastAsia" w:ascii="Calibri" w:hAnsi="Calibri" w:eastAsia="Calibri"/>
          <w:color w:val="000000"/>
          <w:sz w:val="18"/>
          <w:szCs w:val="18"/>
        </w:rPr>
        <w:t>1</w:t>
      </w:r>
      <w:r>
        <w:rPr>
          <w:rFonts w:hint="eastAsia" w:ascii="宋体" w:hAnsi="宋体" w:eastAsia="宋体"/>
          <w:color w:val="000000"/>
          <w:sz w:val="18"/>
          <w:szCs w:val="18"/>
        </w:rPr>
        <w:t>个</w:t>
      </w:r>
    </w:p>
    <w:p w14:paraId="50907D69">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 xml:space="preserve">喷墨打印纸：             </w:t>
      </w:r>
      <w:r>
        <w:rPr>
          <w:rFonts w:hint="eastAsia" w:ascii="Calibri" w:hAnsi="Calibri" w:eastAsia="Calibri"/>
          <w:color w:val="000000"/>
          <w:sz w:val="18"/>
          <w:szCs w:val="18"/>
        </w:rPr>
        <w:t>1</w:t>
      </w:r>
      <w:r>
        <w:rPr>
          <w:rFonts w:hint="eastAsia" w:ascii="宋体" w:hAnsi="宋体" w:eastAsia="宋体"/>
          <w:color w:val="000000"/>
          <w:sz w:val="18"/>
          <w:szCs w:val="18"/>
        </w:rPr>
        <w:t>包</w:t>
      </w:r>
    </w:p>
    <w:p w14:paraId="00E5272F">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 xml:space="preserve">电源线：                 </w:t>
      </w:r>
      <w:r>
        <w:rPr>
          <w:rFonts w:hint="eastAsia" w:ascii="Calibri" w:hAnsi="Calibri" w:eastAsia="Calibri"/>
          <w:color w:val="000000"/>
          <w:sz w:val="18"/>
          <w:szCs w:val="18"/>
        </w:rPr>
        <w:t>1</w:t>
      </w:r>
      <w:r>
        <w:rPr>
          <w:rFonts w:hint="eastAsia" w:ascii="宋体" w:hAnsi="宋体" w:eastAsia="宋体"/>
          <w:color w:val="000000"/>
          <w:sz w:val="18"/>
          <w:szCs w:val="18"/>
        </w:rPr>
        <w:t>根</w:t>
      </w:r>
    </w:p>
    <w:p w14:paraId="701EC6F3">
      <w:pPr>
        <w:wordWrap w:val="0"/>
        <w:autoSpaceDE w:val="0"/>
        <w:autoSpaceDN w:val="0"/>
        <w:spacing w:before="0" w:after="0" w:line="376" w:lineRule="exact"/>
        <w:ind w:left="220" w:right="220" w:firstLine="0"/>
        <w:jc w:val="both"/>
        <w:rPr>
          <w:sz w:val="18"/>
          <w:szCs w:val="18"/>
        </w:rPr>
      </w:pPr>
      <w:r>
        <w:rPr>
          <w:rFonts w:hint="eastAsia" w:ascii="宋体" w:hAnsi="宋体" w:eastAsia="宋体"/>
          <w:color w:val="000000"/>
          <w:sz w:val="18"/>
          <w:szCs w:val="18"/>
        </w:rPr>
        <w:t>中文用户文件组件包（合格证，保修卡，装箱单，说明书，速查卡各</w:t>
      </w:r>
      <w:r>
        <w:rPr>
          <w:rFonts w:hint="eastAsia" w:ascii="Calibri" w:hAnsi="Calibri" w:eastAsia="Calibri"/>
          <w:color w:val="000000"/>
          <w:sz w:val="18"/>
          <w:szCs w:val="18"/>
        </w:rPr>
        <w:t>1</w:t>
      </w:r>
      <w:r>
        <w:rPr>
          <w:rFonts w:hint="eastAsia" w:ascii="宋体" w:hAnsi="宋体" w:eastAsia="宋体"/>
          <w:color w:val="000000"/>
          <w:sz w:val="18"/>
          <w:szCs w:val="18"/>
        </w:rPr>
        <w:t xml:space="preserve">)：    </w:t>
      </w:r>
      <w:r>
        <w:rPr>
          <w:rFonts w:hint="eastAsia" w:ascii="Calibri" w:hAnsi="Calibri" w:eastAsia="Calibri"/>
          <w:color w:val="000000"/>
          <w:sz w:val="18"/>
          <w:szCs w:val="18"/>
        </w:rPr>
        <w:t>1</w:t>
      </w:r>
      <w:r>
        <w:rPr>
          <w:rFonts w:hint="eastAsia" w:ascii="宋体" w:hAnsi="宋体" w:eastAsia="宋体"/>
          <w:color w:val="000000"/>
          <w:sz w:val="18"/>
          <w:szCs w:val="18"/>
        </w:rPr>
        <w:t>套</w:t>
      </w:r>
    </w:p>
    <w:p w14:paraId="3C2F603A">
      <w:pPr>
        <w:wordWrap w:val="0"/>
        <w:autoSpaceDE w:val="0"/>
        <w:autoSpaceDN w:val="0"/>
        <w:spacing w:before="0" w:after="0" w:line="360" w:lineRule="exact"/>
        <w:ind w:firstLine="220"/>
        <w:jc w:val="both"/>
        <w:rPr>
          <w:sz w:val="18"/>
          <w:szCs w:val="18"/>
        </w:rPr>
      </w:pPr>
      <w:r>
        <w:rPr>
          <w:rFonts w:hint="eastAsia" w:ascii="宋体" w:hAnsi="宋体" w:eastAsia="宋体"/>
          <w:color w:val="000000"/>
          <w:sz w:val="18"/>
          <w:szCs w:val="18"/>
        </w:rPr>
        <w:t>五、其它要求：</w:t>
      </w:r>
    </w:p>
    <w:p w14:paraId="264B279D">
      <w:pPr>
        <w:wordWrap w:val="0"/>
        <w:autoSpaceDE w:val="0"/>
        <w:autoSpaceDN w:val="0"/>
        <w:spacing w:before="0" w:after="0" w:line="376" w:lineRule="exact"/>
        <w:ind w:left="220" w:right="200" w:firstLine="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1</w:t>
      </w:r>
      <w:r>
        <w:rPr>
          <w:rFonts w:hint="eastAsia" w:ascii="宋体" w:hAnsi="宋体" w:eastAsia="宋体"/>
          <w:color w:val="000000"/>
          <w:sz w:val="18"/>
          <w:szCs w:val="18"/>
        </w:rPr>
        <w:t>）设备使用期不小于</w:t>
      </w:r>
      <w:r>
        <w:rPr>
          <w:rFonts w:hint="eastAsia" w:ascii="Calibri" w:hAnsi="Calibri" w:eastAsia="Calibri"/>
          <w:color w:val="000000"/>
          <w:sz w:val="18"/>
          <w:szCs w:val="18"/>
        </w:rPr>
        <w:t>10</w:t>
      </w:r>
      <w:r>
        <w:rPr>
          <w:rFonts w:hint="eastAsia" w:ascii="宋体" w:hAnsi="宋体" w:eastAsia="宋体"/>
          <w:color w:val="000000"/>
          <w:sz w:val="18"/>
          <w:szCs w:val="18"/>
        </w:rPr>
        <w:t>年，设备的生产日期和合同签订的时间间隔不大于</w:t>
      </w:r>
      <w:r>
        <w:rPr>
          <w:rFonts w:hint="eastAsia" w:ascii="Calibri" w:hAnsi="Calibri" w:eastAsia="Calibri"/>
          <w:color w:val="000000"/>
          <w:sz w:val="18"/>
          <w:szCs w:val="18"/>
        </w:rPr>
        <w:t>6</w:t>
      </w:r>
      <w:r>
        <w:rPr>
          <w:rFonts w:hint="eastAsia" w:ascii="宋体" w:hAnsi="宋体" w:eastAsia="宋体"/>
          <w:color w:val="000000"/>
          <w:sz w:val="18"/>
          <w:szCs w:val="18"/>
        </w:rPr>
        <w:t>个月。</w:t>
      </w:r>
    </w:p>
    <w:p w14:paraId="24876D66">
      <w:pPr>
        <w:wordWrap w:val="0"/>
        <w:autoSpaceDE w:val="0"/>
        <w:autoSpaceDN w:val="0"/>
        <w:spacing w:before="0" w:after="0" w:line="363" w:lineRule="exact"/>
        <w:ind w:left="220" w:right="200" w:firstLine="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2</w:t>
      </w:r>
      <w:r>
        <w:rPr>
          <w:rFonts w:hint="eastAsia" w:ascii="宋体" w:hAnsi="宋体" w:eastAsia="宋体"/>
          <w:color w:val="000000"/>
          <w:sz w:val="18"/>
          <w:szCs w:val="18"/>
        </w:rPr>
        <w:t>）整机免费质保≥</w:t>
      </w:r>
      <w:r>
        <w:rPr>
          <w:rFonts w:hint="eastAsia" w:ascii="Calibri" w:hAnsi="Calibri" w:eastAsia="Calibri"/>
          <w:color w:val="000000"/>
          <w:sz w:val="18"/>
          <w:szCs w:val="18"/>
        </w:rPr>
        <w:t>3</w:t>
      </w:r>
      <w:r>
        <w:rPr>
          <w:rFonts w:hint="eastAsia" w:ascii="宋体" w:hAnsi="宋体" w:eastAsia="宋体"/>
          <w:color w:val="000000"/>
          <w:sz w:val="18"/>
          <w:szCs w:val="18"/>
        </w:rPr>
        <w:t>年；设备设计使用的耗材必须为开放的耗材，并提供阳光网能点配价格，验收时提供三个以上厂家的耗材使用进行验收。</w:t>
      </w:r>
    </w:p>
    <w:p w14:paraId="689AFE2F">
      <w:pPr>
        <w:wordWrap w:val="0"/>
        <w:autoSpaceDE w:val="0"/>
        <w:autoSpaceDN w:val="0"/>
        <w:spacing w:before="0" w:after="0" w:line="376" w:lineRule="exact"/>
        <w:ind w:left="220" w:right="200" w:firstLine="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）验收同时提供纸质版和电子版产品说明书。供货时应同时附上中文使用说明书（包括纸质版和电子版）。</w:t>
      </w:r>
    </w:p>
    <w:p w14:paraId="53395DD2">
      <w:pPr>
        <w:wordWrap w:val="0"/>
        <w:autoSpaceDE w:val="0"/>
        <w:autoSpaceDN w:val="0"/>
        <w:spacing w:before="0" w:after="0" w:line="376" w:lineRule="exact"/>
        <w:ind w:left="220" w:right="220" w:firstLine="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4</w:t>
      </w:r>
      <w:r>
        <w:rPr>
          <w:rFonts w:hint="eastAsia" w:ascii="宋体" w:hAnsi="宋体" w:eastAsia="宋体"/>
          <w:color w:val="000000"/>
          <w:sz w:val="18"/>
          <w:szCs w:val="18"/>
        </w:rPr>
        <w:t>）为确保设备的售后服务质量，乙方必须提供其厂家免费质保三年的售后服务承诺书，包括设备厂家提供产品的终身免费升级服务。</w:t>
      </w:r>
    </w:p>
    <w:p w14:paraId="0EF2A281">
      <w:pPr>
        <w:wordWrap w:val="0"/>
        <w:autoSpaceDE w:val="0"/>
        <w:autoSpaceDN w:val="0"/>
        <w:spacing w:before="0" w:after="0" w:line="376" w:lineRule="exact"/>
        <w:ind w:left="220" w:right="240" w:firstLine="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5</w:t>
      </w:r>
      <w:r>
        <w:rPr>
          <w:rFonts w:hint="eastAsia" w:ascii="宋体" w:hAnsi="宋体" w:eastAsia="宋体"/>
          <w:color w:val="000000"/>
          <w:sz w:val="18"/>
          <w:szCs w:val="18"/>
        </w:rPr>
        <w:t>）设备数据涉及接入我院</w:t>
      </w:r>
      <w:r>
        <w:rPr>
          <w:rFonts w:hint="eastAsia" w:ascii="Calibri" w:hAnsi="Calibri" w:eastAsia="Calibri"/>
          <w:color w:val="000000"/>
          <w:sz w:val="18"/>
          <w:szCs w:val="18"/>
        </w:rPr>
        <w:t>HIS</w:t>
      </w:r>
      <w:r>
        <w:rPr>
          <w:rFonts w:hint="eastAsia" w:ascii="宋体" w:hAnsi="宋体" w:eastAsia="宋体"/>
          <w:color w:val="000000"/>
          <w:sz w:val="18"/>
          <w:szCs w:val="18"/>
        </w:rPr>
        <w:t>网络的，验收时按我院要求能查询到</w:t>
      </w:r>
      <w:r>
        <w:rPr>
          <w:rFonts w:hint="eastAsia" w:ascii="Calibri" w:hAnsi="Calibri" w:eastAsia="Calibri"/>
          <w:color w:val="000000"/>
          <w:sz w:val="18"/>
          <w:szCs w:val="18"/>
        </w:rPr>
        <w:t>HIS</w:t>
      </w:r>
      <w:r>
        <w:rPr>
          <w:rFonts w:hint="eastAsia" w:ascii="宋体" w:hAnsi="宋体" w:eastAsia="宋体"/>
          <w:color w:val="000000"/>
          <w:sz w:val="18"/>
          <w:szCs w:val="18"/>
        </w:rPr>
        <w:t>网络数据，产生的费用全部由中标方承担。</w:t>
      </w:r>
    </w:p>
    <w:p w14:paraId="644C583F">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6</w:t>
      </w:r>
      <w:r>
        <w:rPr>
          <w:rFonts w:hint="eastAsia" w:ascii="宋体" w:hAnsi="宋体" w:eastAsia="宋体"/>
          <w:color w:val="000000"/>
          <w:sz w:val="18"/>
          <w:szCs w:val="18"/>
        </w:rPr>
        <w:t>）在广西省内设有办事处，配备售后服务工</w:t>
      </w:r>
    </w:p>
    <w:p w14:paraId="778553C1">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程师，定期巡检培训；</w:t>
      </w:r>
    </w:p>
    <w:p w14:paraId="5C5A45F5">
      <w:pPr>
        <w:wordWrap w:val="0"/>
        <w:autoSpaceDE w:val="0"/>
        <w:autoSpaceDN w:val="0"/>
        <w:spacing w:before="0" w:after="0" w:line="376" w:lineRule="exact"/>
        <w:ind w:firstLine="220"/>
        <w:jc w:val="both"/>
        <w:rPr>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7</w:t>
      </w:r>
      <w:r>
        <w:rPr>
          <w:rFonts w:hint="eastAsia" w:ascii="宋体" w:hAnsi="宋体" w:eastAsia="宋体"/>
          <w:color w:val="000000"/>
          <w:sz w:val="18"/>
          <w:szCs w:val="18"/>
        </w:rPr>
        <w:t>）产品零配件国内供应及时；设备主机保修</w:t>
      </w:r>
    </w:p>
    <w:p w14:paraId="4F75EA92">
      <w:pPr>
        <w:autoSpaceDE w:val="0"/>
        <w:autoSpaceDN w:val="0"/>
        <w:spacing w:before="0" w:after="0" w:line="376" w:lineRule="exact"/>
        <w:ind w:firstLine="220"/>
        <w:jc w:val="both"/>
        <w:rPr>
          <w:rFonts w:hint="eastAsia" w:ascii="宋体" w:hAnsi="宋体" w:eastAsia="宋体"/>
          <w:color w:val="000000"/>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3</w:t>
      </w:r>
      <w:r>
        <w:rPr>
          <w:rFonts w:hint="eastAsia" w:ascii="宋体" w:hAnsi="宋体" w:eastAsia="宋体"/>
          <w:color w:val="000000"/>
          <w:sz w:val="18"/>
          <w:szCs w:val="18"/>
        </w:rPr>
        <w:t>年；终身维护；</w:t>
      </w:r>
    </w:p>
    <w:p w14:paraId="7E85ED17">
      <w:pPr>
        <w:numPr>
          <w:ilvl w:val="0"/>
          <w:numId w:val="1"/>
        </w:numPr>
        <w:jc w:val="both"/>
        <w:rPr>
          <w:rFonts w:hint="eastAsia" w:ascii="宋体" w:hAnsi="宋体" w:eastAsia="宋体"/>
          <w:color w:val="000000"/>
          <w:sz w:val="18"/>
          <w:szCs w:val="18"/>
        </w:rPr>
      </w:pPr>
      <w:r>
        <w:rPr>
          <w:rFonts w:hint="eastAsia" w:ascii="宋体" w:hAnsi="宋体" w:eastAsia="宋体"/>
          <w:color w:val="000000"/>
          <w:sz w:val="18"/>
          <w:szCs w:val="18"/>
        </w:rPr>
        <w:t>（</w:t>
      </w:r>
      <w:r>
        <w:rPr>
          <w:rFonts w:hint="eastAsia" w:ascii="Calibri" w:hAnsi="Calibri" w:eastAsia="Calibri"/>
          <w:color w:val="000000"/>
          <w:sz w:val="18"/>
          <w:szCs w:val="18"/>
        </w:rPr>
        <w:t>8</w:t>
      </w:r>
      <w:r>
        <w:rPr>
          <w:rFonts w:hint="eastAsia" w:ascii="宋体" w:hAnsi="宋体" w:eastAsia="宋体"/>
          <w:color w:val="000000"/>
          <w:sz w:val="18"/>
          <w:szCs w:val="18"/>
        </w:rPr>
        <w:t>）维修响应时间：</w:t>
      </w:r>
      <w:r>
        <w:rPr>
          <w:rFonts w:hint="eastAsia" w:ascii="Calibri" w:hAnsi="Calibri" w:eastAsia="Calibri"/>
          <w:color w:val="000000"/>
          <w:sz w:val="18"/>
          <w:szCs w:val="18"/>
        </w:rPr>
        <w:t>2</w:t>
      </w:r>
      <w:r>
        <w:rPr>
          <w:rFonts w:hint="eastAsia" w:ascii="宋体" w:hAnsi="宋体" w:eastAsia="宋体"/>
          <w:color w:val="000000"/>
          <w:sz w:val="18"/>
          <w:szCs w:val="18"/>
        </w:rPr>
        <w:t>小时响应，</w:t>
      </w:r>
      <w:r>
        <w:rPr>
          <w:rFonts w:hint="eastAsia" w:ascii="Calibri" w:hAnsi="Calibri" w:eastAsia="Calibri"/>
          <w:color w:val="000000"/>
          <w:sz w:val="18"/>
          <w:szCs w:val="18"/>
        </w:rPr>
        <w:t>48</w:t>
      </w:r>
      <w:r>
        <w:rPr>
          <w:rFonts w:hint="eastAsia" w:ascii="宋体" w:hAnsi="宋体" w:eastAsia="宋体"/>
          <w:color w:val="000000"/>
          <w:sz w:val="18"/>
          <w:szCs w:val="18"/>
        </w:rPr>
        <w:t>小时未解决问题提供备用机使用</w:t>
      </w:r>
    </w:p>
    <w:p w14:paraId="43054008">
      <w:pPr>
        <w:wordWrap w:val="0"/>
        <w:spacing w:line="440" w:lineRule="exact"/>
        <w:ind w:firstLine="363" w:firstLineChars="202"/>
        <w:jc w:val="left"/>
        <w:rPr>
          <w:rFonts w:ascii="宋体" w:hAnsi="宋体"/>
          <w:bCs/>
          <w:sz w:val="18"/>
          <w:szCs w:val="18"/>
        </w:rPr>
      </w:pPr>
    </w:p>
    <w:tbl>
      <w:tblPr>
        <w:tblStyle w:val="8"/>
        <w:tblW w:w="99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7"/>
        <w:gridCol w:w="8139"/>
        <w:gridCol w:w="44"/>
      </w:tblGrid>
      <w:tr w14:paraId="6E45D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 w:type="dxa"/>
          <w:jc w:val="center"/>
        </w:trPr>
        <w:tc>
          <w:tcPr>
            <w:tcW w:w="9876" w:type="dxa"/>
            <w:gridSpan w:val="2"/>
            <w:tcBorders>
              <w:top w:val="single" w:color="auto" w:sz="4" w:space="0"/>
              <w:left w:val="single" w:color="auto" w:sz="4" w:space="0"/>
              <w:bottom w:val="single" w:color="auto" w:sz="4" w:space="0"/>
              <w:right w:val="single" w:color="auto" w:sz="4" w:space="0"/>
            </w:tcBorders>
          </w:tcPr>
          <w:p w14:paraId="14510866">
            <w:pPr>
              <w:wordWrap w:val="0"/>
              <w:spacing w:line="360" w:lineRule="auto"/>
              <w:rPr>
                <w:rFonts w:ascii="宋体" w:hAnsi="宋体" w:cs="宋体"/>
                <w:sz w:val="18"/>
                <w:szCs w:val="18"/>
              </w:rPr>
            </w:pPr>
            <w:r>
              <w:rPr>
                <w:rFonts w:hint="eastAsia" w:ascii="宋体" w:hAnsi="宋体" w:cs="宋体"/>
                <w:b/>
                <w:bCs/>
                <w:sz w:val="18"/>
                <w:szCs w:val="18"/>
              </w:rPr>
              <w:t>▲</w:t>
            </w:r>
            <w:r>
              <w:rPr>
                <w:rFonts w:hint="eastAsia" w:ascii="宋体" w:hAnsi="宋体" w:cs="宋体"/>
                <w:b/>
                <w:sz w:val="18"/>
                <w:szCs w:val="18"/>
              </w:rPr>
              <w:t>二、商务要求</w:t>
            </w:r>
          </w:p>
        </w:tc>
      </w:tr>
      <w:tr w14:paraId="63EC7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 w:type="dxa"/>
          <w:trHeight w:val="450" w:hRule="atLeast"/>
          <w:jc w:val="center"/>
        </w:trPr>
        <w:tc>
          <w:tcPr>
            <w:tcW w:w="1737" w:type="dxa"/>
            <w:tcBorders>
              <w:top w:val="single" w:color="auto" w:sz="4" w:space="0"/>
              <w:left w:val="single" w:color="auto" w:sz="4" w:space="0"/>
              <w:bottom w:val="single" w:color="auto" w:sz="4" w:space="0"/>
              <w:right w:val="single" w:color="auto" w:sz="4" w:space="0"/>
            </w:tcBorders>
            <w:vAlign w:val="center"/>
          </w:tcPr>
          <w:p w14:paraId="3503D787">
            <w:pPr>
              <w:wordWrap w:val="0"/>
              <w:spacing w:line="300" w:lineRule="auto"/>
              <w:jc w:val="center"/>
              <w:rPr>
                <w:rFonts w:ascii="宋体" w:hAnsi="宋体" w:cs="宋体"/>
                <w:b/>
                <w:bCs/>
                <w:sz w:val="18"/>
                <w:szCs w:val="18"/>
              </w:rPr>
            </w:pPr>
            <w:r>
              <w:rPr>
                <w:rFonts w:hint="eastAsia" w:ascii="宋体" w:hAnsi="宋体" w:cs="宋体"/>
                <w:b/>
                <w:bCs/>
                <w:sz w:val="18"/>
                <w:szCs w:val="18"/>
              </w:rPr>
              <w:t>合同签订时间</w:t>
            </w:r>
          </w:p>
        </w:tc>
        <w:tc>
          <w:tcPr>
            <w:tcW w:w="8139" w:type="dxa"/>
            <w:tcBorders>
              <w:top w:val="single" w:color="auto" w:sz="4" w:space="0"/>
              <w:left w:val="single" w:color="auto" w:sz="4" w:space="0"/>
              <w:bottom w:val="single" w:color="auto" w:sz="4" w:space="0"/>
              <w:right w:val="single" w:color="auto" w:sz="4" w:space="0"/>
            </w:tcBorders>
            <w:vAlign w:val="center"/>
          </w:tcPr>
          <w:p w14:paraId="11536678">
            <w:pPr>
              <w:wordWrap w:val="0"/>
              <w:spacing w:line="300" w:lineRule="auto"/>
              <w:ind w:firstLine="361" w:firstLineChars="200"/>
              <w:rPr>
                <w:rFonts w:ascii="宋体" w:hAnsi="宋体" w:cs="宋体"/>
                <w:b/>
                <w:sz w:val="18"/>
                <w:szCs w:val="18"/>
              </w:rPr>
            </w:pPr>
          </w:p>
        </w:tc>
      </w:tr>
      <w:tr w14:paraId="785DA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737" w:type="dxa"/>
            <w:tcBorders>
              <w:top w:val="single" w:color="auto" w:sz="4" w:space="0"/>
              <w:left w:val="single" w:color="auto" w:sz="4" w:space="0"/>
              <w:bottom w:val="single" w:color="auto" w:sz="4" w:space="0"/>
              <w:right w:val="single" w:color="auto" w:sz="4" w:space="0"/>
            </w:tcBorders>
            <w:vAlign w:val="center"/>
          </w:tcPr>
          <w:p w14:paraId="000779CF">
            <w:pPr>
              <w:wordWrap w:val="0"/>
              <w:spacing w:line="300" w:lineRule="auto"/>
              <w:jc w:val="center"/>
              <w:rPr>
                <w:rFonts w:ascii="宋体" w:hAnsi="宋体" w:cs="宋体"/>
                <w:b/>
                <w:bCs/>
                <w:sz w:val="18"/>
                <w:szCs w:val="18"/>
              </w:rPr>
            </w:pPr>
            <w:r>
              <w:rPr>
                <w:rFonts w:hint="eastAsia" w:ascii="宋体" w:hAnsi="宋体" w:cs="宋体"/>
                <w:b/>
                <w:bCs/>
                <w:sz w:val="18"/>
                <w:szCs w:val="18"/>
              </w:rPr>
              <w:t>付款条件（进度和方式）</w:t>
            </w:r>
          </w:p>
        </w:tc>
        <w:tc>
          <w:tcPr>
            <w:tcW w:w="8183" w:type="dxa"/>
            <w:gridSpan w:val="2"/>
            <w:tcBorders>
              <w:top w:val="single" w:color="auto" w:sz="4" w:space="0"/>
              <w:left w:val="single" w:color="auto" w:sz="4" w:space="0"/>
              <w:bottom w:val="single" w:color="auto" w:sz="4" w:space="0"/>
              <w:right w:val="single" w:color="auto" w:sz="4" w:space="0"/>
            </w:tcBorders>
            <w:vAlign w:val="center"/>
          </w:tcPr>
          <w:p w14:paraId="2A6F30CC">
            <w:pPr>
              <w:snapToGrid w:val="0"/>
              <w:spacing w:line="540" w:lineRule="exact"/>
              <w:ind w:firstLine="360" w:firstLineChars="200"/>
              <w:rPr>
                <w:rFonts w:ascii="宋体" w:cs="宋体"/>
                <w:sz w:val="18"/>
                <w:szCs w:val="18"/>
              </w:rPr>
            </w:pPr>
            <w:r>
              <w:rPr>
                <w:rFonts w:hint="eastAsia" w:hAnsi="宋体"/>
                <w:sz w:val="18"/>
                <w:szCs w:val="18"/>
              </w:rPr>
              <w:t>（1）</w:t>
            </w:r>
            <w:r>
              <w:rPr>
                <w:rFonts w:hint="eastAsia" w:ascii="宋体" w:hAnsi="宋体" w:cs="宋体"/>
                <w:sz w:val="18"/>
                <w:szCs w:val="18"/>
              </w:rPr>
              <w:t>第一期：甲方与乙方签订采购合同后，乙方交货运抵甲方指定地点，安装完毕验收合格，乙方出具相关证件及发票后</w:t>
            </w:r>
            <w:r>
              <w:rPr>
                <w:rFonts w:hint="eastAsia" w:ascii="宋体" w:hAnsi="宋体" w:cs="宋体"/>
                <w:sz w:val="18"/>
                <w:szCs w:val="18"/>
                <w:lang w:val="en-US" w:eastAsia="zh-CN"/>
              </w:rPr>
              <w:t>30</w:t>
            </w:r>
            <w:r>
              <w:rPr>
                <w:rFonts w:hint="eastAsia" w:ascii="宋体" w:hAnsi="宋体" w:cs="宋体"/>
                <w:sz w:val="18"/>
                <w:szCs w:val="18"/>
                <w:lang w:eastAsia="zh-CN"/>
              </w:rPr>
              <w:t>个工作日</w:t>
            </w:r>
            <w:r>
              <w:rPr>
                <w:rFonts w:hint="eastAsia" w:ascii="宋体" w:hAnsi="宋体" w:cs="宋体"/>
                <w:sz w:val="18"/>
                <w:szCs w:val="18"/>
              </w:rPr>
              <w:t>内，甲方一次性支付合同价款的95%；</w:t>
            </w:r>
            <w:r>
              <w:rPr>
                <w:rFonts w:hint="eastAsia" w:hAnsi="宋体"/>
                <w:sz w:val="18"/>
                <w:szCs w:val="18"/>
              </w:rPr>
              <w:t>（2）</w:t>
            </w:r>
            <w:r>
              <w:rPr>
                <w:rFonts w:hint="eastAsia" w:ascii="宋体" w:hAnsi="宋体" w:cs="宋体"/>
                <w:sz w:val="18"/>
                <w:szCs w:val="18"/>
              </w:rPr>
              <w:t>第二期：验收合格正常使用期满一年，乙方提出申请后甲方</w:t>
            </w:r>
            <w:r>
              <w:rPr>
                <w:rFonts w:hint="eastAsia" w:ascii="宋体" w:hAnsi="宋体" w:cs="宋体"/>
                <w:sz w:val="18"/>
                <w:szCs w:val="18"/>
                <w:lang w:val="en-US" w:eastAsia="zh-CN"/>
              </w:rPr>
              <w:t>30</w:t>
            </w:r>
            <w:r>
              <w:rPr>
                <w:rFonts w:hint="eastAsia" w:ascii="宋体" w:hAnsi="宋体" w:cs="宋体"/>
                <w:sz w:val="18"/>
                <w:szCs w:val="18"/>
                <w:lang w:eastAsia="zh-CN"/>
              </w:rPr>
              <w:t>个工作日</w:t>
            </w:r>
            <w:r>
              <w:rPr>
                <w:rFonts w:hint="eastAsia" w:ascii="宋体" w:hAnsi="宋体" w:cs="宋体"/>
                <w:sz w:val="18"/>
                <w:szCs w:val="18"/>
              </w:rPr>
              <w:t>内支付剩余合同价款的5%。</w:t>
            </w:r>
          </w:p>
          <w:p w14:paraId="0CF42E3B">
            <w:pPr>
              <w:pStyle w:val="7"/>
              <w:ind w:left="0" w:leftChars="0" w:firstLine="0" w:firstLineChars="0"/>
              <w:rPr>
                <w:rFonts w:ascii="宋体" w:hAnsi="宋体" w:cs="宋体"/>
                <w:sz w:val="18"/>
                <w:szCs w:val="18"/>
              </w:rPr>
            </w:pPr>
          </w:p>
        </w:tc>
      </w:tr>
      <w:tr w14:paraId="1DE3B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37" w:type="dxa"/>
            <w:tcBorders>
              <w:top w:val="single" w:color="auto" w:sz="4" w:space="0"/>
              <w:left w:val="single" w:color="auto" w:sz="4" w:space="0"/>
              <w:bottom w:val="single" w:color="auto" w:sz="4" w:space="0"/>
              <w:right w:val="single" w:color="auto" w:sz="4" w:space="0"/>
            </w:tcBorders>
            <w:vAlign w:val="center"/>
          </w:tcPr>
          <w:p w14:paraId="74714EEC">
            <w:pPr>
              <w:wordWrap w:val="0"/>
              <w:spacing w:line="300" w:lineRule="auto"/>
              <w:jc w:val="center"/>
              <w:rPr>
                <w:rFonts w:ascii="宋体" w:hAnsi="宋体" w:cs="宋体"/>
                <w:b/>
                <w:bCs/>
                <w:sz w:val="18"/>
                <w:szCs w:val="18"/>
              </w:rPr>
            </w:pPr>
            <w:r>
              <w:rPr>
                <w:rFonts w:hint="eastAsia" w:ascii="宋体" w:hAnsi="宋体" w:cs="宋体"/>
                <w:b/>
                <w:bCs/>
                <w:sz w:val="18"/>
                <w:szCs w:val="18"/>
              </w:rPr>
              <w:t>验收标准</w:t>
            </w:r>
          </w:p>
        </w:tc>
        <w:tc>
          <w:tcPr>
            <w:tcW w:w="8183" w:type="dxa"/>
            <w:gridSpan w:val="2"/>
            <w:tcBorders>
              <w:top w:val="single" w:color="auto" w:sz="4" w:space="0"/>
              <w:left w:val="single" w:color="auto" w:sz="4" w:space="0"/>
              <w:bottom w:val="single" w:color="auto" w:sz="4" w:space="0"/>
              <w:right w:val="single" w:color="auto" w:sz="4" w:space="0"/>
            </w:tcBorders>
            <w:vAlign w:val="center"/>
          </w:tcPr>
          <w:p w14:paraId="598E5D3E">
            <w:pPr>
              <w:numPr>
                <w:ilvl w:val="0"/>
                <w:numId w:val="0"/>
              </w:numPr>
              <w:wordWrap w:val="0"/>
              <w:spacing w:line="300" w:lineRule="auto"/>
              <w:rPr>
                <w:rFonts w:ascii="宋体" w:hAnsi="宋体" w:cs="宋体"/>
                <w:sz w:val="18"/>
                <w:szCs w:val="18"/>
              </w:rPr>
            </w:pPr>
            <w:r>
              <w:rPr>
                <w:rFonts w:hint="eastAsia" w:ascii="宋体" w:hAnsi="宋体" w:cs="宋体"/>
                <w:sz w:val="18"/>
                <w:szCs w:val="18"/>
              </w:rPr>
              <w:t>参照《广西壮族自治区政府采购项目履约验收管理办法》（桂财采〔2015〕22号）及现行国家相关标准、行业标准、地方标准或者其他标准、规范。</w:t>
            </w:r>
          </w:p>
          <w:p w14:paraId="60A64A69">
            <w:pPr>
              <w:snapToGrid w:val="0"/>
              <w:spacing w:line="540" w:lineRule="exact"/>
              <w:ind w:firstLine="360" w:firstLineChars="200"/>
              <w:rPr>
                <w:rFonts w:ascii="宋体" w:cs="宋体"/>
                <w:sz w:val="18"/>
                <w:szCs w:val="18"/>
              </w:rPr>
            </w:pPr>
            <w:r>
              <w:rPr>
                <w:rFonts w:ascii="宋体" w:hAnsi="宋体" w:cs="宋体"/>
                <w:sz w:val="18"/>
                <w:szCs w:val="18"/>
              </w:rPr>
              <w:t>1</w:t>
            </w:r>
            <w:r>
              <w:rPr>
                <w:rFonts w:hint="eastAsia" w:ascii="宋体" w:hAnsi="宋体" w:cs="宋体"/>
                <w:sz w:val="18"/>
                <w:szCs w:val="18"/>
              </w:rPr>
              <w:t>、交货时间</w:t>
            </w:r>
            <w:r>
              <w:rPr>
                <w:rFonts w:hint="eastAsia" w:ascii="宋体" w:hAnsi="宋体" w:cs="宋体"/>
                <w:b/>
                <w:sz w:val="18"/>
                <w:szCs w:val="18"/>
              </w:rPr>
              <w:t>：</w:t>
            </w:r>
            <w:r>
              <w:rPr>
                <w:rFonts w:hint="eastAsia"/>
                <w:spacing w:val="-6"/>
                <w:sz w:val="18"/>
                <w:szCs w:val="18"/>
                <w:u w:val="single"/>
              </w:rPr>
              <w:t>自签订合同之日起30天（日历天）内供应完毕并交付使用</w:t>
            </w:r>
            <w:r>
              <w:rPr>
                <w:rFonts w:hint="eastAsia" w:ascii="宋体" w:hAnsi="宋体" w:cs="宋体"/>
                <w:b/>
                <w:bCs/>
                <w:sz w:val="18"/>
                <w:szCs w:val="18"/>
              </w:rPr>
              <w:t>。</w:t>
            </w:r>
          </w:p>
          <w:p w14:paraId="287809A0">
            <w:pPr>
              <w:snapToGrid w:val="0"/>
              <w:spacing w:line="540" w:lineRule="exact"/>
              <w:ind w:firstLine="360" w:firstLineChars="200"/>
              <w:rPr>
                <w:rFonts w:ascii="宋体" w:hAnsi="宋体" w:cs="宋体"/>
                <w:sz w:val="18"/>
                <w:szCs w:val="18"/>
              </w:rPr>
            </w:pPr>
            <w:r>
              <w:rPr>
                <w:rFonts w:hint="eastAsia" w:ascii="宋体" w:hAnsi="宋体" w:cs="宋体"/>
                <w:sz w:val="18"/>
                <w:szCs w:val="18"/>
              </w:rPr>
              <w:t>地点：</w:t>
            </w:r>
            <w:r>
              <w:rPr>
                <w:rFonts w:hint="eastAsia" w:ascii="宋体" w:hAnsi="宋体" w:cs="宋体"/>
                <w:sz w:val="18"/>
                <w:szCs w:val="18"/>
                <w:u w:val="single"/>
              </w:rPr>
              <w:t>北流市人民医院指定地点</w:t>
            </w:r>
            <w:r>
              <w:rPr>
                <w:rFonts w:hint="eastAsia" w:ascii="宋体" w:hAnsi="宋体" w:cs="宋体"/>
                <w:sz w:val="18"/>
                <w:szCs w:val="18"/>
              </w:rPr>
              <w:t>。</w:t>
            </w:r>
          </w:p>
          <w:p w14:paraId="44546D05">
            <w:pPr>
              <w:snapToGrid w:val="0"/>
              <w:spacing w:line="540" w:lineRule="exact"/>
              <w:ind w:firstLine="360" w:firstLineChars="200"/>
              <w:rPr>
                <w:rFonts w:ascii="宋体" w:cs="宋体"/>
                <w:sz w:val="18"/>
                <w:szCs w:val="18"/>
              </w:rPr>
            </w:pPr>
            <w:r>
              <w:rPr>
                <w:rFonts w:ascii="宋体" w:hAnsi="宋体" w:cs="宋体"/>
                <w:sz w:val="18"/>
                <w:szCs w:val="18"/>
              </w:rPr>
              <w:t>2</w:t>
            </w:r>
            <w:r>
              <w:rPr>
                <w:rFonts w:hint="eastAsia" w:ascii="宋体" w:hAnsi="宋体" w:cs="宋体"/>
                <w:sz w:val="18"/>
                <w:szCs w:val="18"/>
              </w:rPr>
              <w:t>、乙方提供不符合本合同规定的货物，甲方有权拒绝接受。</w:t>
            </w:r>
          </w:p>
          <w:p w14:paraId="49E94CAA">
            <w:pPr>
              <w:snapToGrid w:val="0"/>
              <w:spacing w:line="540" w:lineRule="exact"/>
              <w:ind w:firstLine="360" w:firstLineChars="200"/>
              <w:rPr>
                <w:rFonts w:ascii="宋体" w:cs="宋体"/>
                <w:sz w:val="18"/>
                <w:szCs w:val="18"/>
              </w:rPr>
            </w:pPr>
            <w:r>
              <w:rPr>
                <w:rFonts w:ascii="宋体" w:hAnsi="宋体" w:cs="宋体"/>
                <w:sz w:val="18"/>
                <w:szCs w:val="18"/>
              </w:rPr>
              <w:t>3</w:t>
            </w:r>
            <w:r>
              <w:rPr>
                <w:rFonts w:hint="eastAsia" w:ascii="宋体" w:hAnsi="宋体" w:cs="宋体"/>
                <w:sz w:val="18"/>
                <w:szCs w:val="18"/>
              </w:rPr>
              <w:t>、乙方应将所提供货物的装箱清单、用户手册、原厂保修卡、随机资料、工具和备品、备件等交付给甲方，</w:t>
            </w:r>
            <w:r>
              <w:rPr>
                <w:color w:val="FF0000"/>
                <w:sz w:val="18"/>
                <w:szCs w:val="18"/>
                <w:highlight w:val="none"/>
              </w:rPr>
              <w:t>设备设计使用的耗材必须为开放的耗材，并提供阳光网能点配价格，验收时提供三种以上的耗材使用进行验收。验收同时提供纸质版和电子版产品说明书。</w:t>
            </w:r>
            <w:r>
              <w:rPr>
                <w:rFonts w:hint="eastAsia" w:ascii="宋体" w:hAnsi="宋体"/>
                <w:color w:val="FF0000"/>
                <w:sz w:val="18"/>
                <w:szCs w:val="18"/>
              </w:rPr>
              <w:t>供货时应同时附上中文使用说明书</w:t>
            </w:r>
            <w:r>
              <w:rPr>
                <w:rFonts w:hint="eastAsia" w:ascii="宋体" w:hAnsi="宋体"/>
                <w:color w:val="FF0000"/>
                <w:sz w:val="18"/>
                <w:szCs w:val="18"/>
                <w:lang w:eastAsia="zh-CN"/>
              </w:rPr>
              <w:t>（包括纸质版和电子版），</w:t>
            </w:r>
            <w:r>
              <w:rPr>
                <w:rFonts w:hint="eastAsia" w:ascii="宋体" w:hAnsi="宋体" w:cs="宋体"/>
                <w:sz w:val="18"/>
                <w:szCs w:val="18"/>
              </w:rPr>
              <w:t>如有缺失应及时补齐，否则视为逾期交货。</w:t>
            </w:r>
          </w:p>
          <w:p w14:paraId="2518B154">
            <w:pPr>
              <w:snapToGrid w:val="0"/>
              <w:spacing w:line="540" w:lineRule="exact"/>
              <w:ind w:firstLine="360" w:firstLineChars="200"/>
              <w:rPr>
                <w:rFonts w:hint="eastAsia" w:ascii="宋体" w:hAnsi="宋体" w:cs="宋体"/>
                <w:sz w:val="18"/>
                <w:szCs w:val="18"/>
              </w:rPr>
            </w:pPr>
            <w:r>
              <w:rPr>
                <w:rFonts w:ascii="宋体" w:hAnsi="宋体" w:cs="宋体"/>
                <w:sz w:val="18"/>
                <w:szCs w:val="18"/>
              </w:rPr>
              <w:t>4</w:t>
            </w:r>
            <w:r>
              <w:rPr>
                <w:rFonts w:hint="eastAsia" w:ascii="宋体" w:hAnsi="宋体" w:cs="宋体"/>
                <w:sz w:val="18"/>
                <w:szCs w:val="18"/>
              </w:rPr>
              <w:t>、甲方在收到货后5日内完成货物清点签收工作；设备安装调试完成，甲方科室投入正常使用后，厂家及乙方资质文件等齐全后30个工作日内完成设备的验收。</w:t>
            </w:r>
          </w:p>
          <w:p w14:paraId="715DA972">
            <w:pPr>
              <w:snapToGrid w:val="0"/>
              <w:spacing w:line="540" w:lineRule="exact"/>
              <w:ind w:firstLine="360" w:firstLineChars="200"/>
              <w:rPr>
                <w:rFonts w:ascii="宋体" w:cs="宋体"/>
                <w:sz w:val="18"/>
                <w:szCs w:val="18"/>
              </w:rPr>
            </w:pPr>
            <w:r>
              <w:rPr>
                <w:rFonts w:ascii="宋体" w:hAnsi="宋体" w:cs="宋体"/>
                <w:sz w:val="18"/>
                <w:szCs w:val="18"/>
              </w:rPr>
              <w:t>5</w:t>
            </w:r>
            <w:r>
              <w:rPr>
                <w:rFonts w:hint="eastAsia" w:ascii="宋体" w:hAnsi="宋体" w:cs="宋体"/>
                <w:sz w:val="18"/>
                <w:szCs w:val="18"/>
              </w:rPr>
              <w:t>、采购人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14:paraId="1070E1FC">
            <w:pPr>
              <w:snapToGrid w:val="0"/>
              <w:spacing w:line="540" w:lineRule="exact"/>
              <w:ind w:firstLine="360" w:firstLineChars="200"/>
              <w:rPr>
                <w:rFonts w:ascii="宋体" w:cs="宋体"/>
                <w:sz w:val="18"/>
                <w:szCs w:val="18"/>
              </w:rPr>
            </w:pPr>
            <w:r>
              <w:rPr>
                <w:rFonts w:ascii="宋体" w:hAnsi="宋体" w:cs="宋体"/>
                <w:sz w:val="18"/>
                <w:szCs w:val="18"/>
              </w:rPr>
              <w:t>6</w:t>
            </w:r>
            <w:r>
              <w:rPr>
                <w:rFonts w:hint="eastAsia" w:ascii="宋体" w:hAnsi="宋体" w:cs="宋体"/>
                <w:sz w:val="18"/>
                <w:szCs w:val="18"/>
              </w:rPr>
              <w:t>、甲方对验收有异议的，在验收后五个工作日内以书面形式向乙方提出，乙方应自收到甲方书面异议后</w:t>
            </w:r>
            <w:r>
              <w:rPr>
                <w:rFonts w:hint="eastAsia" w:ascii="宋体" w:hAnsi="宋体" w:cs="宋体"/>
                <w:sz w:val="18"/>
                <w:szCs w:val="18"/>
                <w:u w:val="single"/>
              </w:rPr>
              <w:t>三</w:t>
            </w:r>
            <w:r>
              <w:rPr>
                <w:rFonts w:hint="eastAsia" w:ascii="宋体" w:hAnsi="宋体" w:cs="宋体"/>
                <w:sz w:val="18"/>
                <w:szCs w:val="18"/>
              </w:rPr>
              <w:t>日内及时予以解决。</w:t>
            </w:r>
          </w:p>
          <w:p w14:paraId="697E3E5D">
            <w:pPr>
              <w:numPr>
                <w:ilvl w:val="0"/>
                <w:numId w:val="0"/>
              </w:numPr>
              <w:wordWrap w:val="0"/>
              <w:spacing w:line="300" w:lineRule="auto"/>
              <w:rPr>
                <w:rFonts w:ascii="宋体" w:hAnsi="宋体" w:cs="宋体"/>
                <w:sz w:val="18"/>
                <w:szCs w:val="18"/>
              </w:rPr>
            </w:pPr>
          </w:p>
        </w:tc>
      </w:tr>
    </w:tbl>
    <w:p w14:paraId="5C88C06A">
      <w:pPr>
        <w:rPr>
          <w:sz w:val="18"/>
          <w:szCs w:val="18"/>
        </w:rPr>
      </w:pPr>
    </w:p>
    <w:p w14:paraId="7FD22A57">
      <w:pPr>
        <w:pStyle w:val="4"/>
        <w:ind w:firstLine="360" w:firstLineChars="200"/>
        <w:rPr>
          <w:rFonts w:ascii="Times New Roman" w:hAnsi="Times New Roman" w:cs="Times New Roman"/>
          <w:sz w:val="18"/>
          <w:szCs w:val="18"/>
        </w:rPr>
      </w:pPr>
      <w:r>
        <w:rPr>
          <w:rFonts w:hint="eastAsia" w:ascii="Times New Roman" w:hAnsi="Times New Roman" w:cs="Times New Roman"/>
          <w:sz w:val="18"/>
          <w:szCs w:val="18"/>
        </w:rPr>
        <w:t>三、配件</w:t>
      </w:r>
    </w:p>
    <w:p w14:paraId="4DBBA3D1">
      <w:pPr>
        <w:pStyle w:val="4"/>
        <w:ind w:firstLine="360" w:firstLineChars="200"/>
        <w:rPr>
          <w:rFonts w:ascii="Times New Roman" w:hAnsi="Times New Roman" w:cs="Times New Roman"/>
          <w:sz w:val="18"/>
          <w:szCs w:val="18"/>
        </w:rPr>
      </w:pPr>
      <w:r>
        <w:rPr>
          <w:rFonts w:hint="eastAsia" w:ascii="Times New Roman" w:hAnsi="Times New Roman" w:cs="Times New Roman"/>
          <w:sz w:val="18"/>
          <w:szCs w:val="18"/>
        </w:rPr>
        <w:t>设备出保修期后配件的价格：</w:t>
      </w:r>
    </w:p>
    <w:tbl>
      <w:tblPr>
        <w:tblStyle w:val="9"/>
        <w:tblW w:w="9862" w:type="dxa"/>
        <w:tblInd w:w="-6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2521"/>
        <w:gridCol w:w="1704"/>
        <w:gridCol w:w="1704"/>
        <w:gridCol w:w="2391"/>
      </w:tblGrid>
      <w:tr w14:paraId="686E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vAlign w:val="center"/>
          </w:tcPr>
          <w:p w14:paraId="42812757">
            <w:pPr>
              <w:pStyle w:val="4"/>
              <w:jc w:val="center"/>
              <w:rPr>
                <w:rFonts w:ascii="Times New Roman" w:hAnsi="Times New Roman" w:cs="Times New Roman"/>
                <w:sz w:val="18"/>
                <w:szCs w:val="18"/>
              </w:rPr>
            </w:pPr>
            <w:r>
              <w:rPr>
                <w:rFonts w:hint="eastAsia" w:ascii="Times New Roman" w:hAnsi="Times New Roman" w:cs="Times New Roman"/>
                <w:sz w:val="18"/>
                <w:szCs w:val="18"/>
              </w:rPr>
              <w:t>序号</w:t>
            </w:r>
          </w:p>
        </w:tc>
        <w:tc>
          <w:tcPr>
            <w:tcW w:w="2521" w:type="dxa"/>
            <w:vAlign w:val="center"/>
          </w:tcPr>
          <w:p w14:paraId="6FA3D58D">
            <w:pPr>
              <w:pStyle w:val="4"/>
              <w:jc w:val="center"/>
              <w:rPr>
                <w:rFonts w:ascii="Times New Roman" w:hAnsi="Times New Roman" w:cs="Times New Roman"/>
                <w:sz w:val="18"/>
                <w:szCs w:val="18"/>
              </w:rPr>
            </w:pPr>
            <w:r>
              <w:rPr>
                <w:rFonts w:hint="eastAsia" w:ascii="Times New Roman" w:hAnsi="Times New Roman" w:cs="Times New Roman"/>
                <w:sz w:val="18"/>
                <w:szCs w:val="18"/>
              </w:rPr>
              <w:t>配件名称</w:t>
            </w:r>
          </w:p>
        </w:tc>
        <w:tc>
          <w:tcPr>
            <w:tcW w:w="1704" w:type="dxa"/>
            <w:vAlign w:val="center"/>
          </w:tcPr>
          <w:p w14:paraId="4289EC14">
            <w:pPr>
              <w:pStyle w:val="4"/>
              <w:jc w:val="center"/>
              <w:rPr>
                <w:rFonts w:ascii="Times New Roman" w:hAnsi="Times New Roman" w:cs="Times New Roman"/>
                <w:sz w:val="18"/>
                <w:szCs w:val="18"/>
              </w:rPr>
            </w:pPr>
            <w:r>
              <w:rPr>
                <w:rFonts w:hint="eastAsia" w:ascii="Times New Roman" w:hAnsi="Times New Roman" w:cs="Times New Roman"/>
                <w:sz w:val="18"/>
                <w:szCs w:val="18"/>
              </w:rPr>
              <w:t>更换频率（次/年）</w:t>
            </w:r>
          </w:p>
        </w:tc>
        <w:tc>
          <w:tcPr>
            <w:tcW w:w="1704" w:type="dxa"/>
            <w:vAlign w:val="center"/>
          </w:tcPr>
          <w:p w14:paraId="024F7DB3">
            <w:pPr>
              <w:pStyle w:val="4"/>
              <w:jc w:val="center"/>
              <w:rPr>
                <w:rFonts w:ascii="Times New Roman" w:hAnsi="Times New Roman" w:cs="Times New Roman"/>
                <w:sz w:val="18"/>
                <w:szCs w:val="18"/>
              </w:rPr>
            </w:pPr>
            <w:r>
              <w:rPr>
                <w:rFonts w:hint="eastAsia" w:ascii="Times New Roman" w:hAnsi="Times New Roman" w:cs="Times New Roman"/>
                <w:sz w:val="18"/>
                <w:szCs w:val="18"/>
              </w:rPr>
              <w:t>配件价格（元）</w:t>
            </w:r>
          </w:p>
        </w:tc>
        <w:tc>
          <w:tcPr>
            <w:tcW w:w="2391" w:type="dxa"/>
            <w:vAlign w:val="center"/>
          </w:tcPr>
          <w:p w14:paraId="360564B3">
            <w:pPr>
              <w:pStyle w:val="4"/>
              <w:jc w:val="center"/>
              <w:rPr>
                <w:rFonts w:ascii="Times New Roman" w:hAnsi="Times New Roman" w:cs="Times New Roman"/>
                <w:sz w:val="18"/>
                <w:szCs w:val="18"/>
              </w:rPr>
            </w:pPr>
            <w:r>
              <w:rPr>
                <w:rFonts w:hint="eastAsia" w:ascii="Times New Roman" w:hAnsi="Times New Roman" w:cs="Times New Roman"/>
                <w:sz w:val="18"/>
                <w:szCs w:val="18"/>
              </w:rPr>
              <w:t>年合计费用（元）</w:t>
            </w:r>
          </w:p>
        </w:tc>
      </w:tr>
      <w:tr w14:paraId="5A97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Pr>
          <w:p w14:paraId="7040B2AD">
            <w:pPr>
              <w:pStyle w:val="4"/>
              <w:jc w:val="center"/>
              <w:rPr>
                <w:rFonts w:ascii="Times New Roman" w:hAnsi="Times New Roman" w:cs="Times New Roman"/>
                <w:sz w:val="18"/>
                <w:szCs w:val="18"/>
              </w:rPr>
            </w:pPr>
            <w:r>
              <w:rPr>
                <w:rFonts w:hint="eastAsia" w:ascii="Times New Roman" w:hAnsi="Times New Roman" w:cs="Times New Roman"/>
                <w:sz w:val="18"/>
                <w:szCs w:val="18"/>
              </w:rPr>
              <w:t>1</w:t>
            </w:r>
          </w:p>
        </w:tc>
        <w:tc>
          <w:tcPr>
            <w:tcW w:w="2521" w:type="dxa"/>
          </w:tcPr>
          <w:p w14:paraId="74D83DD1">
            <w:pPr>
              <w:pStyle w:val="4"/>
              <w:rPr>
                <w:rFonts w:ascii="Times New Roman" w:hAnsi="Times New Roman" w:cs="Times New Roman"/>
                <w:sz w:val="18"/>
                <w:szCs w:val="18"/>
              </w:rPr>
            </w:pPr>
          </w:p>
        </w:tc>
        <w:tc>
          <w:tcPr>
            <w:tcW w:w="1704" w:type="dxa"/>
          </w:tcPr>
          <w:p w14:paraId="029620C2">
            <w:pPr>
              <w:pStyle w:val="4"/>
              <w:rPr>
                <w:rFonts w:ascii="Times New Roman" w:hAnsi="Times New Roman" w:cs="Times New Roman"/>
                <w:sz w:val="18"/>
                <w:szCs w:val="18"/>
              </w:rPr>
            </w:pPr>
          </w:p>
        </w:tc>
        <w:tc>
          <w:tcPr>
            <w:tcW w:w="1704" w:type="dxa"/>
          </w:tcPr>
          <w:p w14:paraId="45B6644B">
            <w:pPr>
              <w:pStyle w:val="4"/>
              <w:rPr>
                <w:rFonts w:ascii="Times New Roman" w:hAnsi="Times New Roman" w:cs="Times New Roman"/>
                <w:sz w:val="18"/>
                <w:szCs w:val="18"/>
              </w:rPr>
            </w:pPr>
          </w:p>
        </w:tc>
        <w:tc>
          <w:tcPr>
            <w:tcW w:w="2391" w:type="dxa"/>
          </w:tcPr>
          <w:p w14:paraId="4B26E6B7">
            <w:pPr>
              <w:pStyle w:val="4"/>
              <w:rPr>
                <w:rFonts w:ascii="Times New Roman" w:hAnsi="Times New Roman" w:cs="Times New Roman"/>
                <w:sz w:val="18"/>
                <w:szCs w:val="18"/>
              </w:rPr>
            </w:pPr>
          </w:p>
        </w:tc>
      </w:tr>
      <w:tr w14:paraId="2807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Pr>
          <w:p w14:paraId="6F0DC32B">
            <w:pPr>
              <w:pStyle w:val="4"/>
              <w:jc w:val="center"/>
              <w:rPr>
                <w:rFonts w:ascii="Times New Roman" w:hAnsi="Times New Roman" w:cs="Times New Roman"/>
                <w:sz w:val="18"/>
                <w:szCs w:val="18"/>
              </w:rPr>
            </w:pPr>
            <w:r>
              <w:rPr>
                <w:rFonts w:hint="eastAsia" w:ascii="Times New Roman" w:hAnsi="Times New Roman" w:cs="Times New Roman"/>
                <w:sz w:val="18"/>
                <w:szCs w:val="18"/>
              </w:rPr>
              <w:t>2</w:t>
            </w:r>
          </w:p>
        </w:tc>
        <w:tc>
          <w:tcPr>
            <w:tcW w:w="2521" w:type="dxa"/>
          </w:tcPr>
          <w:p w14:paraId="09C68B0D">
            <w:pPr>
              <w:pStyle w:val="4"/>
              <w:rPr>
                <w:rFonts w:ascii="Times New Roman" w:hAnsi="Times New Roman" w:cs="Times New Roman"/>
                <w:sz w:val="18"/>
                <w:szCs w:val="18"/>
              </w:rPr>
            </w:pPr>
          </w:p>
        </w:tc>
        <w:tc>
          <w:tcPr>
            <w:tcW w:w="1704" w:type="dxa"/>
          </w:tcPr>
          <w:p w14:paraId="02D9769A">
            <w:pPr>
              <w:pStyle w:val="4"/>
              <w:rPr>
                <w:rFonts w:ascii="Times New Roman" w:hAnsi="Times New Roman" w:cs="Times New Roman"/>
                <w:sz w:val="18"/>
                <w:szCs w:val="18"/>
              </w:rPr>
            </w:pPr>
          </w:p>
        </w:tc>
        <w:tc>
          <w:tcPr>
            <w:tcW w:w="1704" w:type="dxa"/>
          </w:tcPr>
          <w:p w14:paraId="694B5856">
            <w:pPr>
              <w:pStyle w:val="4"/>
              <w:rPr>
                <w:rFonts w:ascii="Times New Roman" w:hAnsi="Times New Roman" w:cs="Times New Roman"/>
                <w:sz w:val="18"/>
                <w:szCs w:val="18"/>
              </w:rPr>
            </w:pPr>
          </w:p>
        </w:tc>
        <w:tc>
          <w:tcPr>
            <w:tcW w:w="2391" w:type="dxa"/>
          </w:tcPr>
          <w:p w14:paraId="036A9653">
            <w:pPr>
              <w:pStyle w:val="4"/>
              <w:rPr>
                <w:rFonts w:ascii="Times New Roman" w:hAnsi="Times New Roman" w:cs="Times New Roman"/>
                <w:sz w:val="18"/>
                <w:szCs w:val="18"/>
              </w:rPr>
            </w:pPr>
          </w:p>
        </w:tc>
      </w:tr>
      <w:tr w14:paraId="747E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Pr>
          <w:p w14:paraId="7BE0EE0C">
            <w:pPr>
              <w:pStyle w:val="4"/>
              <w:jc w:val="center"/>
              <w:rPr>
                <w:rFonts w:ascii="Times New Roman" w:hAnsi="Times New Roman" w:cs="Times New Roman"/>
                <w:sz w:val="18"/>
                <w:szCs w:val="18"/>
              </w:rPr>
            </w:pPr>
            <w:r>
              <w:rPr>
                <w:rFonts w:hint="eastAsia" w:ascii="Times New Roman" w:hAnsi="Times New Roman" w:cs="Times New Roman"/>
                <w:sz w:val="18"/>
                <w:szCs w:val="18"/>
              </w:rPr>
              <w:t>3</w:t>
            </w:r>
          </w:p>
        </w:tc>
        <w:tc>
          <w:tcPr>
            <w:tcW w:w="2521" w:type="dxa"/>
          </w:tcPr>
          <w:p w14:paraId="60EE110A">
            <w:pPr>
              <w:pStyle w:val="4"/>
              <w:rPr>
                <w:rFonts w:ascii="Times New Roman" w:hAnsi="Times New Roman" w:cs="Times New Roman"/>
                <w:sz w:val="18"/>
                <w:szCs w:val="18"/>
              </w:rPr>
            </w:pPr>
          </w:p>
        </w:tc>
        <w:tc>
          <w:tcPr>
            <w:tcW w:w="1704" w:type="dxa"/>
          </w:tcPr>
          <w:p w14:paraId="11CDEFF7">
            <w:pPr>
              <w:pStyle w:val="4"/>
              <w:rPr>
                <w:rFonts w:ascii="Times New Roman" w:hAnsi="Times New Roman" w:cs="Times New Roman"/>
                <w:sz w:val="18"/>
                <w:szCs w:val="18"/>
              </w:rPr>
            </w:pPr>
          </w:p>
        </w:tc>
        <w:tc>
          <w:tcPr>
            <w:tcW w:w="1704" w:type="dxa"/>
          </w:tcPr>
          <w:p w14:paraId="2985112F">
            <w:pPr>
              <w:pStyle w:val="4"/>
              <w:rPr>
                <w:rFonts w:ascii="Times New Roman" w:hAnsi="Times New Roman" w:cs="Times New Roman"/>
                <w:sz w:val="18"/>
                <w:szCs w:val="18"/>
              </w:rPr>
            </w:pPr>
          </w:p>
        </w:tc>
        <w:tc>
          <w:tcPr>
            <w:tcW w:w="2391" w:type="dxa"/>
          </w:tcPr>
          <w:p w14:paraId="5C47FE76">
            <w:pPr>
              <w:pStyle w:val="4"/>
              <w:rPr>
                <w:rFonts w:ascii="Times New Roman" w:hAnsi="Times New Roman" w:cs="Times New Roman"/>
                <w:sz w:val="18"/>
                <w:szCs w:val="18"/>
              </w:rPr>
            </w:pPr>
          </w:p>
        </w:tc>
      </w:tr>
      <w:tr w14:paraId="424AD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Pr>
          <w:p w14:paraId="33210318">
            <w:pPr>
              <w:pStyle w:val="4"/>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2521" w:type="dxa"/>
          </w:tcPr>
          <w:p w14:paraId="1B08BF12">
            <w:pPr>
              <w:pStyle w:val="4"/>
              <w:rPr>
                <w:rFonts w:ascii="Times New Roman" w:hAnsi="Times New Roman" w:cs="Times New Roman"/>
                <w:sz w:val="18"/>
                <w:szCs w:val="18"/>
              </w:rPr>
            </w:pPr>
          </w:p>
        </w:tc>
        <w:tc>
          <w:tcPr>
            <w:tcW w:w="1704" w:type="dxa"/>
          </w:tcPr>
          <w:p w14:paraId="5BB450D5">
            <w:pPr>
              <w:pStyle w:val="4"/>
              <w:rPr>
                <w:rFonts w:ascii="Times New Roman" w:hAnsi="Times New Roman" w:cs="Times New Roman"/>
                <w:sz w:val="18"/>
                <w:szCs w:val="18"/>
              </w:rPr>
            </w:pPr>
          </w:p>
        </w:tc>
        <w:tc>
          <w:tcPr>
            <w:tcW w:w="1704" w:type="dxa"/>
          </w:tcPr>
          <w:p w14:paraId="1B4C8549">
            <w:pPr>
              <w:pStyle w:val="4"/>
              <w:rPr>
                <w:rFonts w:ascii="Times New Roman" w:hAnsi="Times New Roman" w:cs="Times New Roman"/>
                <w:sz w:val="18"/>
                <w:szCs w:val="18"/>
              </w:rPr>
            </w:pPr>
          </w:p>
        </w:tc>
        <w:tc>
          <w:tcPr>
            <w:tcW w:w="2391" w:type="dxa"/>
          </w:tcPr>
          <w:p w14:paraId="27D62169">
            <w:pPr>
              <w:pStyle w:val="4"/>
              <w:rPr>
                <w:rFonts w:ascii="Times New Roman" w:hAnsi="Times New Roman" w:cs="Times New Roman"/>
                <w:sz w:val="18"/>
                <w:szCs w:val="18"/>
              </w:rPr>
            </w:pPr>
          </w:p>
        </w:tc>
      </w:tr>
      <w:tr w14:paraId="414B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Pr>
          <w:p w14:paraId="291BC723">
            <w:pPr>
              <w:pStyle w:val="4"/>
              <w:jc w:val="center"/>
              <w:rPr>
                <w:rFonts w:ascii="Times New Roman" w:hAnsi="Times New Roman" w:cs="Times New Roman"/>
                <w:sz w:val="18"/>
                <w:szCs w:val="18"/>
              </w:rPr>
            </w:pPr>
            <w:r>
              <w:rPr>
                <w:rFonts w:hint="eastAsia" w:ascii="微软雅黑" w:hAnsi="微软雅黑" w:eastAsia="微软雅黑" w:cs="微软雅黑"/>
                <w:sz w:val="18"/>
                <w:szCs w:val="18"/>
              </w:rPr>
              <w:t>……</w:t>
            </w:r>
          </w:p>
        </w:tc>
        <w:tc>
          <w:tcPr>
            <w:tcW w:w="2521" w:type="dxa"/>
          </w:tcPr>
          <w:p w14:paraId="40B6A81A">
            <w:pPr>
              <w:pStyle w:val="4"/>
              <w:rPr>
                <w:rFonts w:ascii="Times New Roman" w:hAnsi="Times New Roman" w:cs="Times New Roman"/>
                <w:sz w:val="18"/>
                <w:szCs w:val="18"/>
              </w:rPr>
            </w:pPr>
          </w:p>
        </w:tc>
        <w:tc>
          <w:tcPr>
            <w:tcW w:w="1704" w:type="dxa"/>
          </w:tcPr>
          <w:p w14:paraId="40DA453E">
            <w:pPr>
              <w:pStyle w:val="4"/>
              <w:rPr>
                <w:rFonts w:ascii="Times New Roman" w:hAnsi="Times New Roman" w:cs="Times New Roman"/>
                <w:sz w:val="18"/>
                <w:szCs w:val="18"/>
              </w:rPr>
            </w:pPr>
          </w:p>
        </w:tc>
        <w:tc>
          <w:tcPr>
            <w:tcW w:w="1704" w:type="dxa"/>
          </w:tcPr>
          <w:p w14:paraId="458F21D1">
            <w:pPr>
              <w:pStyle w:val="4"/>
              <w:rPr>
                <w:rFonts w:ascii="Times New Roman" w:hAnsi="Times New Roman" w:cs="Times New Roman"/>
                <w:sz w:val="18"/>
                <w:szCs w:val="18"/>
              </w:rPr>
            </w:pPr>
          </w:p>
        </w:tc>
        <w:tc>
          <w:tcPr>
            <w:tcW w:w="2391" w:type="dxa"/>
          </w:tcPr>
          <w:p w14:paraId="651524B2">
            <w:pPr>
              <w:pStyle w:val="4"/>
              <w:rPr>
                <w:rFonts w:ascii="Times New Roman" w:hAnsi="Times New Roman" w:cs="Times New Roman"/>
                <w:sz w:val="18"/>
                <w:szCs w:val="18"/>
              </w:rPr>
            </w:pPr>
          </w:p>
        </w:tc>
      </w:tr>
      <w:tr w14:paraId="157B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Pr>
          <w:p w14:paraId="3EE79135">
            <w:pPr>
              <w:pStyle w:val="4"/>
              <w:rPr>
                <w:rFonts w:ascii="Times New Roman" w:hAnsi="Times New Roman" w:cs="Times New Roman"/>
                <w:sz w:val="18"/>
                <w:szCs w:val="18"/>
              </w:rPr>
            </w:pPr>
            <w:r>
              <w:rPr>
                <w:rFonts w:hint="eastAsia" w:ascii="Times New Roman" w:hAnsi="Times New Roman" w:cs="Times New Roman"/>
                <w:sz w:val="18"/>
                <w:szCs w:val="18"/>
              </w:rPr>
              <w:t>合计</w:t>
            </w:r>
          </w:p>
        </w:tc>
        <w:tc>
          <w:tcPr>
            <w:tcW w:w="2521" w:type="dxa"/>
          </w:tcPr>
          <w:p w14:paraId="1C918644">
            <w:pPr>
              <w:pStyle w:val="4"/>
              <w:rPr>
                <w:rFonts w:ascii="Times New Roman" w:hAnsi="Times New Roman" w:cs="Times New Roman"/>
                <w:sz w:val="18"/>
                <w:szCs w:val="18"/>
              </w:rPr>
            </w:pPr>
          </w:p>
        </w:tc>
        <w:tc>
          <w:tcPr>
            <w:tcW w:w="1704" w:type="dxa"/>
          </w:tcPr>
          <w:p w14:paraId="52A4F4F8">
            <w:pPr>
              <w:pStyle w:val="4"/>
              <w:rPr>
                <w:rFonts w:ascii="Times New Roman" w:hAnsi="Times New Roman" w:cs="Times New Roman"/>
                <w:sz w:val="18"/>
                <w:szCs w:val="18"/>
              </w:rPr>
            </w:pPr>
          </w:p>
        </w:tc>
        <w:tc>
          <w:tcPr>
            <w:tcW w:w="1704" w:type="dxa"/>
          </w:tcPr>
          <w:p w14:paraId="05461655">
            <w:pPr>
              <w:pStyle w:val="4"/>
              <w:rPr>
                <w:rFonts w:ascii="Times New Roman" w:hAnsi="Times New Roman" w:cs="Times New Roman"/>
                <w:sz w:val="18"/>
                <w:szCs w:val="18"/>
              </w:rPr>
            </w:pPr>
          </w:p>
        </w:tc>
        <w:tc>
          <w:tcPr>
            <w:tcW w:w="2391" w:type="dxa"/>
          </w:tcPr>
          <w:p w14:paraId="58D0160B">
            <w:pPr>
              <w:pStyle w:val="4"/>
              <w:rPr>
                <w:rFonts w:ascii="Times New Roman" w:hAnsi="Times New Roman" w:cs="Times New Roman"/>
                <w:sz w:val="18"/>
                <w:szCs w:val="18"/>
              </w:rPr>
            </w:pPr>
          </w:p>
        </w:tc>
      </w:tr>
    </w:tbl>
    <w:p w14:paraId="6441DAE7">
      <w:pPr>
        <w:rPr>
          <w:b/>
          <w:bCs/>
          <w:color w:val="C00000"/>
          <w:sz w:val="18"/>
          <w:szCs w:val="18"/>
        </w:rPr>
      </w:pPr>
      <w:r>
        <w:rPr>
          <w:rFonts w:hint="eastAsia" w:ascii="宋体" w:hAnsi="宋体" w:cs="宋体"/>
          <w:b/>
          <w:bCs/>
          <w:color w:val="C00000"/>
          <w:sz w:val="18"/>
          <w:szCs w:val="18"/>
        </w:rPr>
        <w:t>（备注：此表由供应商填写，作为评标的重要依据。）</w:t>
      </w:r>
    </w:p>
    <w:p w14:paraId="4F1B46D2">
      <w:pPr>
        <w:pStyle w:val="4"/>
        <w:ind w:firstLine="360" w:firstLineChars="200"/>
        <w:rPr>
          <w:rFonts w:ascii="Times New Roman" w:hAnsi="Times New Roman" w:cs="Times New Roman"/>
          <w:sz w:val="18"/>
          <w:szCs w:val="18"/>
        </w:rPr>
      </w:pPr>
      <w:r>
        <w:rPr>
          <w:rFonts w:hint="eastAsia" w:ascii="Times New Roman" w:hAnsi="Times New Roman" w:cs="Times New Roman"/>
          <w:sz w:val="18"/>
          <w:szCs w:val="18"/>
        </w:rPr>
        <w:t>四、设备和耗材、检验试剂的关系</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14:paraId="50DF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14:paraId="7E693B13">
            <w:pPr>
              <w:jc w:val="center"/>
              <w:rPr>
                <w:rFonts w:ascii="宋体" w:hAnsi="宋体" w:cs="宋体"/>
                <w:sz w:val="18"/>
                <w:szCs w:val="18"/>
              </w:rPr>
            </w:pPr>
            <w:r>
              <w:rPr>
                <w:rFonts w:hint="eastAsia" w:ascii="宋体" w:hAnsi="宋体" w:cs="宋体"/>
                <w:sz w:val="18"/>
                <w:szCs w:val="18"/>
              </w:rPr>
              <w:t>设备名称</w:t>
            </w:r>
          </w:p>
        </w:tc>
        <w:tc>
          <w:tcPr>
            <w:tcW w:w="996" w:type="dxa"/>
            <w:vAlign w:val="center"/>
          </w:tcPr>
          <w:p w14:paraId="26B9623C">
            <w:pPr>
              <w:jc w:val="center"/>
              <w:rPr>
                <w:rFonts w:ascii="宋体" w:hAnsi="宋体" w:cs="宋体"/>
                <w:sz w:val="18"/>
                <w:szCs w:val="18"/>
              </w:rPr>
            </w:pPr>
            <w:r>
              <w:rPr>
                <w:rFonts w:hint="eastAsia" w:ascii="宋体" w:hAnsi="宋体" w:cs="宋体"/>
                <w:sz w:val="18"/>
                <w:szCs w:val="18"/>
              </w:rPr>
              <w:t>设备单价（元）</w:t>
            </w:r>
          </w:p>
        </w:tc>
        <w:tc>
          <w:tcPr>
            <w:tcW w:w="683" w:type="dxa"/>
            <w:vAlign w:val="center"/>
          </w:tcPr>
          <w:p w14:paraId="1E5FFB34">
            <w:pPr>
              <w:jc w:val="center"/>
              <w:rPr>
                <w:rFonts w:ascii="宋体" w:hAnsi="宋体" w:cs="宋体"/>
                <w:sz w:val="18"/>
                <w:szCs w:val="18"/>
              </w:rPr>
            </w:pPr>
            <w:r>
              <w:rPr>
                <w:rFonts w:hint="eastAsia" w:ascii="宋体" w:hAnsi="宋体" w:cs="宋体"/>
                <w:sz w:val="18"/>
                <w:szCs w:val="18"/>
              </w:rPr>
              <w:t>国产/进口</w:t>
            </w:r>
          </w:p>
        </w:tc>
        <w:tc>
          <w:tcPr>
            <w:tcW w:w="839" w:type="dxa"/>
            <w:vAlign w:val="center"/>
          </w:tcPr>
          <w:p w14:paraId="44C74641">
            <w:pPr>
              <w:jc w:val="center"/>
              <w:rPr>
                <w:rFonts w:ascii="宋体" w:hAnsi="宋体" w:cs="宋体"/>
                <w:sz w:val="18"/>
                <w:szCs w:val="18"/>
              </w:rPr>
            </w:pPr>
            <w:r>
              <w:rPr>
                <w:rFonts w:hint="eastAsia" w:ascii="宋体" w:hAnsi="宋体" w:cs="宋体"/>
                <w:sz w:val="18"/>
                <w:szCs w:val="18"/>
              </w:rPr>
              <w:t>是否专机专用耗材</w:t>
            </w:r>
          </w:p>
        </w:tc>
        <w:tc>
          <w:tcPr>
            <w:tcW w:w="840" w:type="dxa"/>
            <w:vAlign w:val="center"/>
          </w:tcPr>
          <w:p w14:paraId="60EA8E2B">
            <w:pPr>
              <w:jc w:val="center"/>
              <w:rPr>
                <w:rFonts w:ascii="宋体" w:hAnsi="宋体" w:cs="宋体"/>
                <w:sz w:val="18"/>
                <w:szCs w:val="18"/>
              </w:rPr>
            </w:pPr>
            <w:r>
              <w:rPr>
                <w:rFonts w:hint="eastAsia" w:ascii="宋体" w:hAnsi="宋体" w:cs="宋体"/>
                <w:sz w:val="18"/>
                <w:szCs w:val="18"/>
              </w:rPr>
              <w:t>耗材品牌</w:t>
            </w:r>
          </w:p>
        </w:tc>
        <w:tc>
          <w:tcPr>
            <w:tcW w:w="840" w:type="dxa"/>
            <w:vAlign w:val="center"/>
          </w:tcPr>
          <w:p w14:paraId="206893EB">
            <w:pPr>
              <w:jc w:val="center"/>
              <w:rPr>
                <w:rFonts w:ascii="宋体" w:hAnsi="宋体" w:cs="宋体"/>
                <w:sz w:val="18"/>
                <w:szCs w:val="18"/>
              </w:rPr>
            </w:pPr>
            <w:r>
              <w:rPr>
                <w:rFonts w:hint="eastAsia" w:ascii="宋体" w:hAnsi="宋体" w:cs="宋体"/>
                <w:sz w:val="18"/>
                <w:szCs w:val="18"/>
              </w:rPr>
              <w:t>耗材名称</w:t>
            </w:r>
          </w:p>
        </w:tc>
        <w:tc>
          <w:tcPr>
            <w:tcW w:w="849" w:type="dxa"/>
            <w:vAlign w:val="center"/>
          </w:tcPr>
          <w:p w14:paraId="2786E0F7">
            <w:pPr>
              <w:rPr>
                <w:rFonts w:ascii="宋体" w:hAnsi="宋体" w:cs="宋体"/>
                <w:sz w:val="18"/>
                <w:szCs w:val="18"/>
              </w:rPr>
            </w:pPr>
            <w:r>
              <w:rPr>
                <w:rFonts w:hint="eastAsia" w:ascii="宋体" w:hAnsi="宋体" w:cs="宋体"/>
                <w:sz w:val="18"/>
                <w:szCs w:val="18"/>
              </w:rPr>
              <w:t>集采/阳光网</w:t>
            </w:r>
          </w:p>
        </w:tc>
        <w:tc>
          <w:tcPr>
            <w:tcW w:w="836" w:type="dxa"/>
            <w:vAlign w:val="center"/>
          </w:tcPr>
          <w:p w14:paraId="2C56E42F">
            <w:pPr>
              <w:jc w:val="center"/>
              <w:rPr>
                <w:rFonts w:ascii="宋体" w:hAnsi="宋体" w:cs="宋体"/>
                <w:sz w:val="18"/>
                <w:szCs w:val="18"/>
              </w:rPr>
            </w:pPr>
            <w:r>
              <w:rPr>
                <w:rFonts w:hint="eastAsia" w:ascii="宋体" w:hAnsi="宋体" w:cs="宋体"/>
                <w:sz w:val="18"/>
                <w:szCs w:val="18"/>
              </w:rPr>
              <w:t>集采价格</w:t>
            </w:r>
          </w:p>
        </w:tc>
        <w:tc>
          <w:tcPr>
            <w:tcW w:w="836" w:type="dxa"/>
            <w:vAlign w:val="center"/>
          </w:tcPr>
          <w:p w14:paraId="708CBED9">
            <w:pPr>
              <w:jc w:val="center"/>
              <w:rPr>
                <w:rFonts w:ascii="宋体" w:hAnsi="宋体" w:cs="宋体"/>
                <w:sz w:val="18"/>
                <w:szCs w:val="18"/>
              </w:rPr>
            </w:pPr>
            <w:r>
              <w:rPr>
                <w:rFonts w:hint="eastAsia" w:ascii="宋体" w:hAnsi="宋体" w:cs="宋体"/>
                <w:sz w:val="18"/>
                <w:szCs w:val="18"/>
              </w:rPr>
              <w:t>阳光网价格</w:t>
            </w:r>
          </w:p>
        </w:tc>
        <w:tc>
          <w:tcPr>
            <w:tcW w:w="836" w:type="dxa"/>
            <w:vAlign w:val="center"/>
          </w:tcPr>
          <w:p w14:paraId="166474FA">
            <w:pPr>
              <w:jc w:val="center"/>
              <w:rPr>
                <w:rFonts w:ascii="宋体" w:hAnsi="宋体" w:cs="宋体"/>
                <w:sz w:val="18"/>
                <w:szCs w:val="18"/>
              </w:rPr>
            </w:pPr>
            <w:r>
              <w:rPr>
                <w:rFonts w:hint="eastAsia" w:ascii="宋体" w:hAnsi="宋体" w:cs="宋体"/>
                <w:sz w:val="18"/>
                <w:szCs w:val="18"/>
              </w:rPr>
              <w:t>阳光网成交价格</w:t>
            </w:r>
          </w:p>
        </w:tc>
      </w:tr>
      <w:tr w14:paraId="6496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6AA5CA53">
            <w:pPr>
              <w:rPr>
                <w:rFonts w:ascii="宋体" w:hAnsi="宋体" w:cs="宋体"/>
                <w:sz w:val="18"/>
                <w:szCs w:val="18"/>
              </w:rPr>
            </w:pPr>
          </w:p>
        </w:tc>
        <w:tc>
          <w:tcPr>
            <w:tcW w:w="996" w:type="dxa"/>
            <w:vAlign w:val="center"/>
          </w:tcPr>
          <w:p w14:paraId="4C49B82C">
            <w:pPr>
              <w:rPr>
                <w:rFonts w:ascii="宋体" w:hAnsi="宋体" w:cs="宋体"/>
                <w:sz w:val="18"/>
                <w:szCs w:val="18"/>
              </w:rPr>
            </w:pPr>
          </w:p>
        </w:tc>
        <w:tc>
          <w:tcPr>
            <w:tcW w:w="683" w:type="dxa"/>
            <w:vAlign w:val="center"/>
          </w:tcPr>
          <w:p w14:paraId="49994A47">
            <w:pPr>
              <w:rPr>
                <w:rFonts w:ascii="宋体" w:hAnsi="宋体" w:cs="宋体"/>
                <w:sz w:val="18"/>
                <w:szCs w:val="18"/>
              </w:rPr>
            </w:pPr>
          </w:p>
        </w:tc>
        <w:tc>
          <w:tcPr>
            <w:tcW w:w="839" w:type="dxa"/>
            <w:vAlign w:val="center"/>
          </w:tcPr>
          <w:p w14:paraId="0C300D03">
            <w:pPr>
              <w:rPr>
                <w:rFonts w:ascii="宋体" w:hAnsi="宋体" w:cs="宋体"/>
                <w:sz w:val="18"/>
                <w:szCs w:val="18"/>
              </w:rPr>
            </w:pPr>
          </w:p>
        </w:tc>
        <w:tc>
          <w:tcPr>
            <w:tcW w:w="840" w:type="dxa"/>
            <w:vAlign w:val="center"/>
          </w:tcPr>
          <w:p w14:paraId="2A6C410D">
            <w:pPr>
              <w:rPr>
                <w:rFonts w:ascii="宋体" w:hAnsi="宋体" w:cs="宋体"/>
                <w:sz w:val="18"/>
                <w:szCs w:val="18"/>
              </w:rPr>
            </w:pPr>
          </w:p>
        </w:tc>
        <w:tc>
          <w:tcPr>
            <w:tcW w:w="840" w:type="dxa"/>
            <w:vAlign w:val="center"/>
          </w:tcPr>
          <w:p w14:paraId="347EC609">
            <w:pPr>
              <w:rPr>
                <w:rFonts w:ascii="宋体" w:hAnsi="宋体" w:cs="宋体"/>
                <w:sz w:val="18"/>
                <w:szCs w:val="18"/>
              </w:rPr>
            </w:pPr>
          </w:p>
        </w:tc>
        <w:tc>
          <w:tcPr>
            <w:tcW w:w="849" w:type="dxa"/>
            <w:vAlign w:val="center"/>
          </w:tcPr>
          <w:p w14:paraId="4A72BB51">
            <w:pPr>
              <w:rPr>
                <w:rFonts w:ascii="宋体" w:hAnsi="宋体" w:cs="宋体"/>
                <w:sz w:val="18"/>
                <w:szCs w:val="18"/>
              </w:rPr>
            </w:pPr>
          </w:p>
        </w:tc>
        <w:tc>
          <w:tcPr>
            <w:tcW w:w="836" w:type="dxa"/>
            <w:vAlign w:val="center"/>
          </w:tcPr>
          <w:p w14:paraId="400AD4D7">
            <w:pPr>
              <w:rPr>
                <w:rFonts w:ascii="宋体" w:hAnsi="宋体" w:cs="宋体"/>
                <w:sz w:val="18"/>
                <w:szCs w:val="18"/>
              </w:rPr>
            </w:pPr>
          </w:p>
        </w:tc>
        <w:tc>
          <w:tcPr>
            <w:tcW w:w="836" w:type="dxa"/>
            <w:vAlign w:val="center"/>
          </w:tcPr>
          <w:p w14:paraId="35B17960">
            <w:pPr>
              <w:rPr>
                <w:rFonts w:ascii="宋体" w:hAnsi="宋体" w:cs="宋体"/>
                <w:sz w:val="18"/>
                <w:szCs w:val="18"/>
              </w:rPr>
            </w:pPr>
          </w:p>
        </w:tc>
        <w:tc>
          <w:tcPr>
            <w:tcW w:w="836" w:type="dxa"/>
            <w:vAlign w:val="center"/>
          </w:tcPr>
          <w:p w14:paraId="3F4C9734">
            <w:pPr>
              <w:rPr>
                <w:rFonts w:ascii="宋体" w:hAnsi="宋体" w:cs="宋体"/>
                <w:sz w:val="18"/>
                <w:szCs w:val="18"/>
              </w:rPr>
            </w:pPr>
          </w:p>
        </w:tc>
      </w:tr>
      <w:tr w14:paraId="0A4C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5C6B8965">
            <w:pPr>
              <w:rPr>
                <w:rFonts w:ascii="宋体" w:hAnsi="宋体" w:cs="宋体"/>
                <w:sz w:val="18"/>
                <w:szCs w:val="18"/>
              </w:rPr>
            </w:pPr>
          </w:p>
        </w:tc>
        <w:tc>
          <w:tcPr>
            <w:tcW w:w="996" w:type="dxa"/>
            <w:vAlign w:val="center"/>
          </w:tcPr>
          <w:p w14:paraId="5CA43D45">
            <w:pPr>
              <w:rPr>
                <w:rFonts w:ascii="宋体" w:hAnsi="宋体" w:cs="宋体"/>
                <w:sz w:val="18"/>
                <w:szCs w:val="18"/>
              </w:rPr>
            </w:pPr>
          </w:p>
        </w:tc>
        <w:tc>
          <w:tcPr>
            <w:tcW w:w="683" w:type="dxa"/>
            <w:vAlign w:val="center"/>
          </w:tcPr>
          <w:p w14:paraId="21E547EF">
            <w:pPr>
              <w:rPr>
                <w:rFonts w:ascii="宋体" w:hAnsi="宋体" w:cs="宋体"/>
                <w:sz w:val="18"/>
                <w:szCs w:val="18"/>
              </w:rPr>
            </w:pPr>
          </w:p>
        </w:tc>
        <w:tc>
          <w:tcPr>
            <w:tcW w:w="839" w:type="dxa"/>
            <w:vAlign w:val="center"/>
          </w:tcPr>
          <w:p w14:paraId="6FA2B387">
            <w:pPr>
              <w:rPr>
                <w:rFonts w:ascii="宋体" w:hAnsi="宋体" w:cs="宋体"/>
                <w:sz w:val="18"/>
                <w:szCs w:val="18"/>
              </w:rPr>
            </w:pPr>
          </w:p>
        </w:tc>
        <w:tc>
          <w:tcPr>
            <w:tcW w:w="840" w:type="dxa"/>
            <w:vAlign w:val="center"/>
          </w:tcPr>
          <w:p w14:paraId="18F4B856">
            <w:pPr>
              <w:rPr>
                <w:rFonts w:ascii="宋体" w:hAnsi="宋体" w:cs="宋体"/>
                <w:sz w:val="18"/>
                <w:szCs w:val="18"/>
              </w:rPr>
            </w:pPr>
          </w:p>
        </w:tc>
        <w:tc>
          <w:tcPr>
            <w:tcW w:w="840" w:type="dxa"/>
            <w:vAlign w:val="center"/>
          </w:tcPr>
          <w:p w14:paraId="44BC2895">
            <w:pPr>
              <w:rPr>
                <w:rFonts w:ascii="宋体" w:hAnsi="宋体" w:cs="宋体"/>
                <w:sz w:val="18"/>
                <w:szCs w:val="18"/>
              </w:rPr>
            </w:pPr>
          </w:p>
        </w:tc>
        <w:tc>
          <w:tcPr>
            <w:tcW w:w="849" w:type="dxa"/>
            <w:vAlign w:val="center"/>
          </w:tcPr>
          <w:p w14:paraId="26F6A097">
            <w:pPr>
              <w:rPr>
                <w:rFonts w:ascii="宋体" w:hAnsi="宋体" w:cs="宋体"/>
                <w:sz w:val="18"/>
                <w:szCs w:val="18"/>
              </w:rPr>
            </w:pPr>
          </w:p>
        </w:tc>
        <w:tc>
          <w:tcPr>
            <w:tcW w:w="836" w:type="dxa"/>
            <w:vAlign w:val="center"/>
          </w:tcPr>
          <w:p w14:paraId="7D21A14A">
            <w:pPr>
              <w:rPr>
                <w:rFonts w:ascii="宋体" w:hAnsi="宋体" w:cs="宋体"/>
                <w:sz w:val="18"/>
                <w:szCs w:val="18"/>
              </w:rPr>
            </w:pPr>
          </w:p>
        </w:tc>
        <w:tc>
          <w:tcPr>
            <w:tcW w:w="836" w:type="dxa"/>
            <w:vAlign w:val="center"/>
          </w:tcPr>
          <w:p w14:paraId="6AE521D7">
            <w:pPr>
              <w:rPr>
                <w:rFonts w:ascii="宋体" w:hAnsi="宋体" w:cs="宋体"/>
                <w:sz w:val="18"/>
                <w:szCs w:val="18"/>
              </w:rPr>
            </w:pPr>
          </w:p>
        </w:tc>
        <w:tc>
          <w:tcPr>
            <w:tcW w:w="836" w:type="dxa"/>
            <w:vAlign w:val="center"/>
          </w:tcPr>
          <w:p w14:paraId="5A6F6A56">
            <w:pPr>
              <w:rPr>
                <w:rFonts w:ascii="宋体" w:hAnsi="宋体" w:cs="宋体"/>
                <w:sz w:val="18"/>
                <w:szCs w:val="18"/>
              </w:rPr>
            </w:pPr>
          </w:p>
        </w:tc>
      </w:tr>
      <w:tr w14:paraId="34CD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14:paraId="73295D0F">
            <w:pPr>
              <w:rPr>
                <w:rFonts w:ascii="宋体" w:hAnsi="宋体" w:cs="宋体"/>
                <w:sz w:val="18"/>
                <w:szCs w:val="18"/>
              </w:rPr>
            </w:pPr>
          </w:p>
        </w:tc>
        <w:tc>
          <w:tcPr>
            <w:tcW w:w="996" w:type="dxa"/>
            <w:vAlign w:val="center"/>
          </w:tcPr>
          <w:p w14:paraId="2E1B4684">
            <w:pPr>
              <w:rPr>
                <w:rFonts w:ascii="宋体" w:hAnsi="宋体" w:cs="宋体"/>
                <w:sz w:val="18"/>
                <w:szCs w:val="18"/>
              </w:rPr>
            </w:pPr>
          </w:p>
        </w:tc>
        <w:tc>
          <w:tcPr>
            <w:tcW w:w="683" w:type="dxa"/>
            <w:vAlign w:val="center"/>
          </w:tcPr>
          <w:p w14:paraId="23432105">
            <w:pPr>
              <w:rPr>
                <w:rFonts w:ascii="宋体" w:hAnsi="宋体" w:cs="宋体"/>
                <w:sz w:val="18"/>
                <w:szCs w:val="18"/>
              </w:rPr>
            </w:pPr>
          </w:p>
        </w:tc>
        <w:tc>
          <w:tcPr>
            <w:tcW w:w="839" w:type="dxa"/>
            <w:vAlign w:val="center"/>
          </w:tcPr>
          <w:p w14:paraId="67EB0FBE">
            <w:pPr>
              <w:rPr>
                <w:rFonts w:ascii="宋体" w:hAnsi="宋体" w:cs="宋体"/>
                <w:sz w:val="18"/>
                <w:szCs w:val="18"/>
              </w:rPr>
            </w:pPr>
          </w:p>
        </w:tc>
        <w:tc>
          <w:tcPr>
            <w:tcW w:w="840" w:type="dxa"/>
            <w:vAlign w:val="center"/>
          </w:tcPr>
          <w:p w14:paraId="078E109F">
            <w:pPr>
              <w:rPr>
                <w:rFonts w:ascii="宋体" w:hAnsi="宋体" w:cs="宋体"/>
                <w:sz w:val="18"/>
                <w:szCs w:val="18"/>
              </w:rPr>
            </w:pPr>
          </w:p>
        </w:tc>
        <w:tc>
          <w:tcPr>
            <w:tcW w:w="840" w:type="dxa"/>
            <w:vAlign w:val="center"/>
          </w:tcPr>
          <w:p w14:paraId="4762C484">
            <w:pPr>
              <w:rPr>
                <w:rFonts w:ascii="宋体" w:hAnsi="宋体" w:cs="宋体"/>
                <w:sz w:val="18"/>
                <w:szCs w:val="18"/>
              </w:rPr>
            </w:pPr>
          </w:p>
        </w:tc>
        <w:tc>
          <w:tcPr>
            <w:tcW w:w="849" w:type="dxa"/>
            <w:vAlign w:val="center"/>
          </w:tcPr>
          <w:p w14:paraId="73DC8A2A">
            <w:pPr>
              <w:rPr>
                <w:rFonts w:ascii="宋体" w:hAnsi="宋体" w:cs="宋体"/>
                <w:sz w:val="18"/>
                <w:szCs w:val="18"/>
              </w:rPr>
            </w:pPr>
          </w:p>
        </w:tc>
        <w:tc>
          <w:tcPr>
            <w:tcW w:w="836" w:type="dxa"/>
            <w:vAlign w:val="center"/>
          </w:tcPr>
          <w:p w14:paraId="44AB04CB">
            <w:pPr>
              <w:rPr>
                <w:rFonts w:ascii="宋体" w:hAnsi="宋体" w:cs="宋体"/>
                <w:sz w:val="18"/>
                <w:szCs w:val="18"/>
              </w:rPr>
            </w:pPr>
          </w:p>
        </w:tc>
        <w:tc>
          <w:tcPr>
            <w:tcW w:w="836" w:type="dxa"/>
            <w:vAlign w:val="center"/>
          </w:tcPr>
          <w:p w14:paraId="02CFB9A3">
            <w:pPr>
              <w:rPr>
                <w:rFonts w:ascii="宋体" w:hAnsi="宋体" w:cs="宋体"/>
                <w:sz w:val="18"/>
                <w:szCs w:val="18"/>
              </w:rPr>
            </w:pPr>
          </w:p>
        </w:tc>
        <w:tc>
          <w:tcPr>
            <w:tcW w:w="836" w:type="dxa"/>
            <w:vAlign w:val="center"/>
          </w:tcPr>
          <w:p w14:paraId="08878B7D">
            <w:pPr>
              <w:rPr>
                <w:rFonts w:ascii="宋体" w:hAnsi="宋体" w:cs="宋体"/>
                <w:sz w:val="18"/>
                <w:szCs w:val="18"/>
              </w:rPr>
            </w:pPr>
          </w:p>
        </w:tc>
      </w:tr>
    </w:tbl>
    <w:p w14:paraId="62ADFF9D">
      <w:pPr>
        <w:rPr>
          <w:rFonts w:ascii="宋体" w:hAnsi="宋体" w:cs="宋体"/>
        </w:rPr>
      </w:pPr>
      <w:r>
        <w:rPr>
          <w:rFonts w:hint="eastAsia" w:ascii="宋体" w:hAnsi="宋体" w:cs="宋体"/>
          <w:b/>
          <w:bCs/>
          <w:color w:val="C00000"/>
          <w:sz w:val="28"/>
          <w:szCs w:val="28"/>
        </w:rPr>
        <w:t>（备注：此表由供应商填写，作为评标的重要依据。）</w:t>
      </w:r>
    </w:p>
    <w:p w14:paraId="21E0C5FE">
      <w:pPr>
        <w:spacing w:line="480" w:lineRule="auto"/>
      </w:pPr>
    </w:p>
    <w:p w14:paraId="096F18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32A75"/>
    <w:multiLevelType w:val="singleLevel"/>
    <w:tmpl w:val="1AF32A75"/>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NDI3YmY5ZjZhYjI0YzA4YzI0N2E1MGMzYjc2MmIifQ=="/>
  </w:docVars>
  <w:rsids>
    <w:rsidRoot w:val="78887C68"/>
    <w:rsid w:val="000169CC"/>
    <w:rsid w:val="0010181C"/>
    <w:rsid w:val="002527F7"/>
    <w:rsid w:val="00355881"/>
    <w:rsid w:val="00522CD9"/>
    <w:rsid w:val="0058158C"/>
    <w:rsid w:val="005E34A7"/>
    <w:rsid w:val="006C49D1"/>
    <w:rsid w:val="00825AB7"/>
    <w:rsid w:val="0095032E"/>
    <w:rsid w:val="00A91BCF"/>
    <w:rsid w:val="00D61B32"/>
    <w:rsid w:val="00F034E3"/>
    <w:rsid w:val="00F60AC8"/>
    <w:rsid w:val="0AA91C4E"/>
    <w:rsid w:val="0DF244EB"/>
    <w:rsid w:val="181A3A94"/>
    <w:rsid w:val="1ECC2895"/>
    <w:rsid w:val="275E3A27"/>
    <w:rsid w:val="2B3034BD"/>
    <w:rsid w:val="41F27492"/>
    <w:rsid w:val="4246427A"/>
    <w:rsid w:val="4C0E4FC1"/>
    <w:rsid w:val="539F1B70"/>
    <w:rsid w:val="69F0140A"/>
    <w:rsid w:val="6F5B0D25"/>
    <w:rsid w:val="75ED4384"/>
    <w:rsid w:val="78887C68"/>
    <w:rsid w:val="7D6342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ind w:firstLine="830" w:firstLineChars="352"/>
    </w:pPr>
    <w:rPr>
      <w:rFonts w:ascii="仿宋_GB2312" w:eastAsia="仿宋_GB2312"/>
      <w:kern w:val="0"/>
      <w:sz w:val="32"/>
      <w:szCs w:val="20"/>
    </w:rPr>
  </w:style>
  <w:style w:type="paragraph" w:styleId="4">
    <w:name w:val="Plain Text"/>
    <w:basedOn w:val="1"/>
    <w:qFormat/>
    <w:uiPriority w:val="99"/>
    <w:pPr>
      <w:jc w:val="left"/>
    </w:pPr>
    <w:rPr>
      <w:rFonts w:ascii="Courier New" w:hAnsi="Courier New" w:cs="Courier New"/>
      <w:sz w:val="20"/>
      <w:szCs w:val="20"/>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qFormat/>
    <w:uiPriority w:val="0"/>
    <w:pPr>
      <w:spacing w:after="120"/>
      <w:ind w:left="420" w:leftChars="200" w:firstLine="420" w:firstLineChars="200"/>
    </w:pPr>
    <w:rPr>
      <w:rFonts w:ascii="Times New Roman" w:eastAsia="宋体"/>
      <w:kern w:val="2"/>
      <w:sz w:val="21"/>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0"/>
    <w:rPr>
      <w:rFonts w:ascii="Times New Roman" w:hAnsi="Times New Roman" w:eastAsia="宋体" w:cs="Times New Roman"/>
      <w:kern w:val="2"/>
      <w:sz w:val="18"/>
      <w:szCs w:val="18"/>
    </w:rPr>
  </w:style>
  <w:style w:type="character" w:customStyle="1" w:styleId="12">
    <w:name w:val="页脚 Char"/>
    <w:basedOn w:val="10"/>
    <w:link w:val="5"/>
    <w:qFormat/>
    <w:uiPriority w:val="0"/>
    <w:rPr>
      <w:rFonts w:ascii="Times New Roman" w:hAnsi="Times New Roman" w:eastAsia="宋体" w:cs="Times New Roman"/>
      <w:kern w:val="2"/>
      <w:sz w:val="18"/>
      <w:szCs w:val="18"/>
    </w:rPr>
  </w:style>
  <w:style w:type="paragraph" w:styleId="13">
    <w:name w:val="List Paragraph"/>
    <w:basedOn w:val="1"/>
    <w:qFormat/>
    <w:uiPriority w:val="34"/>
    <w:pPr>
      <w:ind w:firstLine="420" w:firstLineChars="200"/>
    </w:pPr>
    <w:rPr>
      <w:rFonts w:asciiTheme="minorHAnsi" w:hAnsiTheme="minorHAnsi" w:eastAsiaTheme="minorEastAsia" w:cstheme="minorBidi"/>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2082</Words>
  <Characters>2181</Characters>
  <Lines>8</Lines>
  <Paragraphs>2</Paragraphs>
  <TotalTime>2</TotalTime>
  <ScaleCrop>false</ScaleCrop>
  <LinksUpToDate>false</LinksUpToDate>
  <CharactersWithSpaces>2209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广</cp:lastModifiedBy>
  <dcterms:modified xsi:type="dcterms:W3CDTF">2026-08-04T02:45:58Z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469AC2BAB77C464A8CC934E979D22F9E_13</vt:lpwstr>
  </property>
  <property fmtid="{D5CDD505-2E9C-101B-9397-08002B2CF9AE}" pid="4" name="KSOTemplateDocerSaveRecord">
    <vt:lpwstr>eyJoZGlkIjoiY2U5ZmY0N2ExZWQzYzlhNGNjMDA5NzI5YmJhMGEwOTEiLCJ1c2VySWQiOiIxMTIwODQyMDgxIn0=</vt:lpwstr>
  </property>
</Properties>
</file>