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04C4DA">
      <w:pPr>
        <w:jc w:val="center"/>
        <w:rPr>
          <w:rFonts w:ascii="宋体" w:hAnsi="宋体"/>
          <w:bCs/>
          <w:sz w:val="28"/>
          <w:szCs w:val="28"/>
        </w:rPr>
      </w:pPr>
      <w:r>
        <w:rPr>
          <w:rFonts w:hint="eastAsia" w:ascii="宋体" w:hAnsi="宋体"/>
          <w:b/>
          <w:sz w:val="28"/>
          <w:szCs w:val="28"/>
        </w:rPr>
        <w:t>申购仪器设备的技术参数及配置要求</w:t>
      </w:r>
    </w:p>
    <w:tbl>
      <w:tblPr>
        <w:tblStyle w:val="5"/>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7020"/>
      </w:tblGrid>
      <w:tr w14:paraId="77D2A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trPr>
        <w:tc>
          <w:tcPr>
            <w:tcW w:w="2160" w:type="dxa"/>
            <w:tcBorders>
              <w:top w:val="single" w:color="auto" w:sz="4" w:space="0"/>
              <w:left w:val="single" w:color="auto" w:sz="4" w:space="0"/>
              <w:bottom w:val="single" w:color="auto" w:sz="4" w:space="0"/>
              <w:right w:val="single" w:color="auto" w:sz="4" w:space="0"/>
            </w:tcBorders>
            <w:noWrap/>
            <w:vAlign w:val="center"/>
          </w:tcPr>
          <w:p w14:paraId="0DC5B113">
            <w:pPr>
              <w:jc w:val="center"/>
              <w:rPr>
                <w:sz w:val="28"/>
                <w:szCs w:val="28"/>
              </w:rPr>
            </w:pPr>
            <w:r>
              <w:rPr>
                <w:rFonts w:hint="eastAsia"/>
                <w:sz w:val="28"/>
                <w:szCs w:val="28"/>
              </w:rPr>
              <w:t>项目名称</w:t>
            </w:r>
          </w:p>
        </w:tc>
        <w:tc>
          <w:tcPr>
            <w:tcW w:w="7020" w:type="dxa"/>
            <w:tcBorders>
              <w:top w:val="single" w:color="auto" w:sz="4" w:space="0"/>
              <w:left w:val="single" w:color="auto" w:sz="4" w:space="0"/>
              <w:bottom w:val="single" w:color="auto" w:sz="4" w:space="0"/>
              <w:right w:val="single" w:color="auto" w:sz="4" w:space="0"/>
            </w:tcBorders>
            <w:noWrap/>
          </w:tcPr>
          <w:p w14:paraId="4E1AA0DA">
            <w:pPr>
              <w:jc w:val="center"/>
              <w:rPr>
                <w:sz w:val="28"/>
                <w:szCs w:val="28"/>
              </w:rPr>
            </w:pPr>
            <w:r>
              <w:rPr>
                <w:rFonts w:hint="eastAsia"/>
                <w:sz w:val="28"/>
                <w:szCs w:val="28"/>
              </w:rPr>
              <w:t>项参数说明</w:t>
            </w:r>
          </w:p>
        </w:tc>
      </w:tr>
      <w:tr w14:paraId="12E5D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160" w:type="dxa"/>
            <w:tcBorders>
              <w:top w:val="single" w:color="auto" w:sz="4" w:space="0"/>
              <w:left w:val="single" w:color="auto" w:sz="4" w:space="0"/>
              <w:bottom w:val="single" w:color="auto" w:sz="4" w:space="0"/>
              <w:right w:val="single" w:color="auto" w:sz="4" w:space="0"/>
            </w:tcBorders>
            <w:noWrap/>
          </w:tcPr>
          <w:p w14:paraId="77FE627A">
            <w:pPr>
              <w:ind w:firstLine="120" w:firstLineChars="50"/>
              <w:rPr>
                <w:sz w:val="24"/>
              </w:rPr>
            </w:pPr>
            <w:r>
              <w:rPr>
                <w:rFonts w:hint="eastAsia"/>
                <w:sz w:val="24"/>
              </w:rPr>
              <w:t>申购设备名称</w:t>
            </w:r>
          </w:p>
        </w:tc>
        <w:tc>
          <w:tcPr>
            <w:tcW w:w="7020" w:type="dxa"/>
            <w:tcBorders>
              <w:top w:val="single" w:color="auto" w:sz="4" w:space="0"/>
              <w:left w:val="single" w:color="auto" w:sz="4" w:space="0"/>
              <w:bottom w:val="single" w:color="auto" w:sz="4" w:space="0"/>
              <w:right w:val="single" w:color="auto" w:sz="4" w:space="0"/>
            </w:tcBorders>
            <w:noWrap/>
          </w:tcPr>
          <w:p w14:paraId="698B6285">
            <w:pPr>
              <w:jc w:val="center"/>
              <w:rPr>
                <w:sz w:val="24"/>
              </w:rPr>
            </w:pPr>
            <w:r>
              <w:rPr>
                <w:sz w:val="24"/>
              </w:rPr>
              <w:t>胎</w:t>
            </w:r>
            <w:r>
              <w:rPr>
                <w:rFonts w:hint="eastAsia"/>
                <w:sz w:val="24"/>
              </w:rPr>
              <w:t>儿/母亲</w:t>
            </w:r>
            <w:r>
              <w:rPr>
                <w:sz w:val="24"/>
              </w:rPr>
              <w:t>监护仪</w:t>
            </w:r>
          </w:p>
        </w:tc>
      </w:tr>
      <w:tr w14:paraId="5523B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2160" w:type="dxa"/>
            <w:tcBorders>
              <w:top w:val="single" w:color="auto" w:sz="4" w:space="0"/>
              <w:left w:val="single" w:color="auto" w:sz="4" w:space="0"/>
              <w:bottom w:val="single" w:color="auto" w:sz="4" w:space="0"/>
              <w:right w:val="single" w:color="auto" w:sz="4" w:space="0"/>
            </w:tcBorders>
            <w:noWrap/>
          </w:tcPr>
          <w:p w14:paraId="4D2B8B7A">
            <w:pPr>
              <w:rPr>
                <w:sz w:val="24"/>
              </w:rPr>
            </w:pPr>
            <w:r>
              <w:rPr>
                <w:rFonts w:hint="eastAsia"/>
                <w:sz w:val="24"/>
              </w:rPr>
              <w:t>用途及适用人群</w:t>
            </w:r>
          </w:p>
        </w:tc>
        <w:tc>
          <w:tcPr>
            <w:tcW w:w="7020" w:type="dxa"/>
            <w:tcBorders>
              <w:top w:val="single" w:color="auto" w:sz="4" w:space="0"/>
              <w:left w:val="single" w:color="auto" w:sz="4" w:space="0"/>
              <w:bottom w:val="single" w:color="auto" w:sz="4" w:space="0"/>
              <w:right w:val="single" w:color="auto" w:sz="4" w:space="0"/>
            </w:tcBorders>
            <w:noWrap/>
          </w:tcPr>
          <w:p w14:paraId="2D24344F">
            <w:pPr>
              <w:spacing w:line="360" w:lineRule="auto"/>
              <w:ind w:firstLine="480" w:firstLineChars="200"/>
              <w:rPr>
                <w:sz w:val="24"/>
                <w:szCs w:val="24"/>
              </w:rPr>
            </w:pPr>
            <w:r>
              <w:rPr>
                <w:rFonts w:ascii="宋体" w:hAnsi="宋体"/>
                <w:sz w:val="24"/>
                <w:szCs w:val="24"/>
              </w:rPr>
              <w:t>产科需要购买</w:t>
            </w:r>
            <w:r>
              <w:rPr>
                <w:rFonts w:hint="eastAsia" w:ascii="宋体" w:hAnsi="宋体"/>
                <w:sz w:val="24"/>
                <w:szCs w:val="24"/>
              </w:rPr>
              <w:t>胎儿监护仪</w:t>
            </w:r>
            <w:r>
              <w:rPr>
                <w:rFonts w:ascii="宋体" w:hAnsi="宋体"/>
                <w:sz w:val="24"/>
                <w:szCs w:val="24"/>
              </w:rPr>
              <w:t>，以更好的为孕妇提供服务及扩大医院在社会上的影响力，提高医护人员的工作效率和工作质量，大幅度降低耗材成本，同时提供医疗证据，避免医疗纠纷。</w:t>
            </w:r>
          </w:p>
        </w:tc>
      </w:tr>
      <w:tr w14:paraId="4DE3B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2160" w:type="dxa"/>
            <w:tcBorders>
              <w:top w:val="single" w:color="auto" w:sz="4" w:space="0"/>
              <w:left w:val="single" w:color="auto" w:sz="4" w:space="0"/>
              <w:bottom w:val="single" w:color="auto" w:sz="4" w:space="0"/>
              <w:right w:val="single" w:color="auto" w:sz="4" w:space="0"/>
            </w:tcBorders>
            <w:noWrap/>
          </w:tcPr>
          <w:p w14:paraId="6A042CA3">
            <w:pPr>
              <w:rPr>
                <w:sz w:val="24"/>
              </w:rPr>
            </w:pPr>
          </w:p>
          <w:p w14:paraId="04C07495">
            <w:pPr>
              <w:rPr>
                <w:sz w:val="24"/>
              </w:rPr>
            </w:pPr>
          </w:p>
          <w:p w14:paraId="3D3D9719">
            <w:pPr>
              <w:rPr>
                <w:sz w:val="24"/>
              </w:rPr>
            </w:pPr>
            <w:r>
              <w:rPr>
                <w:rFonts w:hint="eastAsia"/>
                <w:sz w:val="24"/>
              </w:rPr>
              <w:t>设备的功能要求</w:t>
            </w:r>
          </w:p>
        </w:tc>
        <w:tc>
          <w:tcPr>
            <w:tcW w:w="7020" w:type="dxa"/>
            <w:tcBorders>
              <w:top w:val="single" w:color="auto" w:sz="4" w:space="0"/>
              <w:left w:val="single" w:color="auto" w:sz="4" w:space="0"/>
              <w:bottom w:val="single" w:color="auto" w:sz="4" w:space="0"/>
              <w:right w:val="single" w:color="auto" w:sz="4" w:space="0"/>
            </w:tcBorders>
            <w:noWrap/>
          </w:tcPr>
          <w:p w14:paraId="4E07D752">
            <w:pPr>
              <w:spacing w:line="520" w:lineRule="exact"/>
              <w:ind w:firstLine="480" w:firstLineChars="200"/>
              <w:jc w:val="left"/>
              <w:rPr>
                <w:rFonts w:ascii="宋体" w:hAnsi="宋体"/>
                <w:sz w:val="24"/>
                <w:szCs w:val="24"/>
              </w:rPr>
            </w:pPr>
            <w:r>
              <w:rPr>
                <w:rFonts w:ascii="宋体" w:hAnsi="宋体" w:cs="Courier New"/>
                <w:sz w:val="24"/>
                <w:szCs w:val="20"/>
              </w:rPr>
              <w:t>胎儿监护仪主要应用于产科病房</w:t>
            </w:r>
            <w:r>
              <w:rPr>
                <w:rFonts w:hint="eastAsia" w:ascii="宋体" w:hAnsi="宋体" w:cs="Courier New"/>
                <w:sz w:val="24"/>
                <w:szCs w:val="20"/>
              </w:rPr>
              <w:t>和门诊</w:t>
            </w:r>
            <w:r>
              <w:rPr>
                <w:rFonts w:ascii="宋体" w:hAnsi="宋体" w:cs="Courier New"/>
                <w:sz w:val="24"/>
                <w:szCs w:val="20"/>
              </w:rPr>
              <w:t>，满足日常监护需求。胎儿监护仪操作系统以一键化操作为主，采用多晶片探头设计，为胎儿提供全程监护服务，实现整体生育安全理念，同时可选配FTS-3无线监护机型进行无线监护,在一定范围内孕妇可自由活动中进行胎儿监护，打破了传统的有线监护理念，为孕妇解决了有线探头监护的困扰</w:t>
            </w:r>
            <w:r>
              <w:rPr>
                <w:rFonts w:hint="eastAsia" w:ascii="宋体" w:hAnsi="宋体" w:cs="Courier New"/>
                <w:sz w:val="24"/>
                <w:szCs w:val="20"/>
                <w:lang w:eastAsia="zh-CN"/>
              </w:rPr>
              <w:t>，</w:t>
            </w:r>
            <w:r>
              <w:rPr>
                <w:rFonts w:ascii="宋体" w:hAnsi="宋体" w:cs="Courier New"/>
                <w:sz w:val="24"/>
                <w:szCs w:val="20"/>
              </w:rPr>
              <w:t>配合产科中央站，管理产科胎监所有数据信息。依据临床的需要，进行胎儿胎心率及宫缩压数据的监护及记录，也可与设立在中央护士站的中央站相连，动态的，适时的，全面的观察监护情况，确保母婴平安，健康。</w:t>
            </w:r>
          </w:p>
        </w:tc>
      </w:tr>
      <w:tr w14:paraId="2E0AE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160" w:type="dxa"/>
            <w:tcBorders>
              <w:top w:val="single" w:color="auto" w:sz="4" w:space="0"/>
              <w:left w:val="single" w:color="auto" w:sz="4" w:space="0"/>
              <w:bottom w:val="single" w:color="auto" w:sz="4" w:space="0"/>
              <w:right w:val="single" w:color="auto" w:sz="4" w:space="0"/>
            </w:tcBorders>
            <w:noWrap/>
            <w:vAlign w:val="center"/>
          </w:tcPr>
          <w:p w14:paraId="5488DB73">
            <w:pPr>
              <w:jc w:val="center"/>
              <w:rPr>
                <w:sz w:val="24"/>
              </w:rPr>
            </w:pPr>
            <w:r>
              <w:rPr>
                <w:rFonts w:hint="eastAsia"/>
                <w:sz w:val="24"/>
              </w:rPr>
              <w:t>功能的技术指标及其他技术参数</w:t>
            </w:r>
          </w:p>
        </w:tc>
        <w:tc>
          <w:tcPr>
            <w:tcW w:w="7020" w:type="dxa"/>
            <w:tcBorders>
              <w:top w:val="single" w:color="auto" w:sz="4" w:space="0"/>
              <w:left w:val="single" w:color="auto" w:sz="4" w:space="0"/>
              <w:bottom w:val="single" w:color="auto" w:sz="4" w:space="0"/>
              <w:right w:val="single" w:color="auto" w:sz="4" w:space="0"/>
            </w:tcBorders>
            <w:noWrap/>
          </w:tcPr>
          <w:p w14:paraId="7AE16052">
            <w:pPr>
              <w:rPr>
                <w:rFonts w:ascii="宋体" w:hAnsi="宋体"/>
                <w:sz w:val="24"/>
                <w:szCs w:val="24"/>
              </w:rPr>
            </w:pPr>
          </w:p>
          <w:p w14:paraId="3C64519B">
            <w:pPr>
              <w:rPr>
                <w:rFonts w:ascii="宋体" w:hAnsi="宋体"/>
                <w:sz w:val="24"/>
                <w:szCs w:val="24"/>
              </w:rPr>
            </w:pPr>
          </w:p>
          <w:p w14:paraId="7E1A5543">
            <w:pPr>
              <w:rPr>
                <w:rFonts w:ascii="宋体" w:hAnsi="宋体"/>
                <w:sz w:val="24"/>
                <w:szCs w:val="24"/>
              </w:rPr>
            </w:pPr>
          </w:p>
          <w:p w14:paraId="6B6F0DE7">
            <w:pPr>
              <w:rPr>
                <w:rFonts w:ascii="宋体" w:hAnsi="宋体"/>
                <w:sz w:val="24"/>
                <w:szCs w:val="24"/>
              </w:rPr>
            </w:pPr>
          </w:p>
          <w:p w14:paraId="1CB07830">
            <w:pPr>
              <w:rPr>
                <w:rFonts w:ascii="宋体" w:hAnsi="宋体"/>
                <w:sz w:val="24"/>
                <w:szCs w:val="24"/>
              </w:rPr>
            </w:pPr>
          </w:p>
          <w:p w14:paraId="7FCC7321">
            <w:pPr>
              <w:rPr>
                <w:rFonts w:ascii="宋体" w:hAnsi="宋体"/>
                <w:sz w:val="24"/>
                <w:szCs w:val="24"/>
              </w:rPr>
            </w:pPr>
          </w:p>
          <w:p w14:paraId="37707E37">
            <w:pPr>
              <w:rPr>
                <w:rFonts w:ascii="宋体" w:hAnsi="宋体"/>
                <w:sz w:val="24"/>
                <w:szCs w:val="24"/>
              </w:rPr>
            </w:pPr>
          </w:p>
        </w:tc>
      </w:tr>
      <w:tr w14:paraId="72F07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2160" w:type="dxa"/>
            <w:tcBorders>
              <w:top w:val="single" w:color="auto" w:sz="4" w:space="0"/>
              <w:left w:val="single" w:color="auto" w:sz="4" w:space="0"/>
              <w:bottom w:val="single" w:color="auto" w:sz="4" w:space="0"/>
              <w:right w:val="single" w:color="auto" w:sz="4" w:space="0"/>
            </w:tcBorders>
            <w:noWrap/>
            <w:vAlign w:val="center"/>
          </w:tcPr>
          <w:p w14:paraId="520C3FEF">
            <w:pPr>
              <w:ind w:firstLine="480" w:firstLineChars="200"/>
              <w:jc w:val="both"/>
              <w:rPr>
                <w:sz w:val="24"/>
              </w:rPr>
            </w:pPr>
            <w:r>
              <w:rPr>
                <w:rFonts w:hint="eastAsia"/>
                <w:sz w:val="24"/>
              </w:rPr>
              <w:t>软、硬件的</w:t>
            </w:r>
          </w:p>
          <w:p w14:paraId="0057137B">
            <w:pPr>
              <w:ind w:firstLine="360" w:firstLineChars="150"/>
              <w:jc w:val="center"/>
              <w:rPr>
                <w:sz w:val="24"/>
              </w:rPr>
            </w:pPr>
            <w:r>
              <w:rPr>
                <w:rFonts w:hint="eastAsia"/>
                <w:sz w:val="24"/>
              </w:rPr>
              <w:t>配置要求</w:t>
            </w:r>
          </w:p>
        </w:tc>
        <w:tc>
          <w:tcPr>
            <w:tcW w:w="7020" w:type="dxa"/>
            <w:tcBorders>
              <w:top w:val="single" w:color="auto" w:sz="4" w:space="0"/>
              <w:left w:val="single" w:color="auto" w:sz="4" w:space="0"/>
              <w:bottom w:val="single" w:color="auto" w:sz="4" w:space="0"/>
              <w:right w:val="single" w:color="auto" w:sz="4" w:space="0"/>
            </w:tcBorders>
            <w:noWrap/>
          </w:tcPr>
          <w:p w14:paraId="2764A52C">
            <w:pPr>
              <w:spacing w:line="360" w:lineRule="auto"/>
              <w:ind w:firstLine="480" w:firstLineChars="200"/>
              <w:rPr>
                <w:sz w:val="24"/>
              </w:rPr>
            </w:pPr>
            <w:r>
              <w:rPr>
                <w:rFonts w:hint="eastAsia" w:ascii="宋体" w:hAnsi="宋体" w:eastAsia="宋体" w:cs="宋体"/>
                <w:sz w:val="24"/>
                <w:szCs w:val="24"/>
              </w:rPr>
              <w:t>进行基本的胎儿胎心率及宫缩压数据的监护及记录同时选配增加母亲血氧，脉搏，无创血压，心电，呼吸的监护，并将它们与设立在中央护士站的中央站相连</w:t>
            </w:r>
            <w:r>
              <w:rPr>
                <w:rFonts w:hint="eastAsia" w:ascii="宋体" w:hAnsi="宋体" w:cs="宋体"/>
                <w:sz w:val="24"/>
                <w:szCs w:val="24"/>
                <w:lang w:val="en-US" w:eastAsia="zh-CN"/>
              </w:rPr>
              <w:t>。</w:t>
            </w:r>
          </w:p>
        </w:tc>
      </w:tr>
      <w:tr w14:paraId="328A0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160" w:type="dxa"/>
            <w:tcBorders>
              <w:top w:val="single" w:color="auto" w:sz="4" w:space="0"/>
              <w:left w:val="single" w:color="auto" w:sz="4" w:space="0"/>
              <w:bottom w:val="single" w:color="auto" w:sz="4" w:space="0"/>
              <w:right w:val="single" w:color="auto" w:sz="4" w:space="0"/>
            </w:tcBorders>
            <w:noWrap/>
            <w:vAlign w:val="center"/>
          </w:tcPr>
          <w:p w14:paraId="2927FC87">
            <w:pPr>
              <w:jc w:val="center"/>
              <w:rPr>
                <w:sz w:val="24"/>
              </w:rPr>
            </w:pPr>
            <w:r>
              <w:rPr>
                <w:rFonts w:hint="eastAsia"/>
                <w:sz w:val="24"/>
              </w:rPr>
              <w:t>其它要求</w:t>
            </w:r>
          </w:p>
        </w:tc>
        <w:tc>
          <w:tcPr>
            <w:tcW w:w="7020" w:type="dxa"/>
            <w:tcBorders>
              <w:top w:val="single" w:color="auto" w:sz="4" w:space="0"/>
              <w:left w:val="single" w:color="auto" w:sz="4" w:space="0"/>
              <w:bottom w:val="single" w:color="auto" w:sz="4" w:space="0"/>
              <w:right w:val="single" w:color="auto" w:sz="4" w:space="0"/>
            </w:tcBorders>
            <w:noWrap/>
          </w:tcPr>
          <w:p w14:paraId="4F843E45">
            <w:pPr>
              <w:spacing w:line="120" w:lineRule="auto"/>
              <w:jc w:val="left"/>
              <w:rPr>
                <w:rFonts w:ascii="宋体" w:hAnsi="宋体"/>
                <w:sz w:val="24"/>
                <w:szCs w:val="24"/>
              </w:rPr>
            </w:pPr>
            <w:r>
              <w:rPr>
                <w:rFonts w:hint="eastAsia" w:ascii="宋体" w:hAnsi="宋体"/>
                <w:sz w:val="24"/>
                <w:szCs w:val="24"/>
              </w:rPr>
              <w:t>1.设备使用期</w:t>
            </w:r>
            <w:r>
              <w:rPr>
                <w:rFonts w:ascii="Arial" w:hAnsi="Arial" w:cs="Arial"/>
                <w:sz w:val="24"/>
                <w:szCs w:val="24"/>
              </w:rPr>
              <w:t>≥</w:t>
            </w:r>
            <w:r>
              <w:rPr>
                <w:rFonts w:hint="eastAsia" w:ascii="Arial" w:hAnsi="Arial" w:cs="Arial"/>
                <w:sz w:val="24"/>
                <w:szCs w:val="24"/>
              </w:rPr>
              <w:t>6</w:t>
            </w:r>
            <w:r>
              <w:rPr>
                <w:rFonts w:hint="eastAsia" w:ascii="宋体" w:hAnsi="宋体"/>
                <w:sz w:val="24"/>
                <w:szCs w:val="24"/>
              </w:rPr>
              <w:t>年，设备的生产日期和合同签订的时间间隔不大于6个月。</w:t>
            </w:r>
          </w:p>
          <w:p w14:paraId="5200F90D">
            <w:pPr>
              <w:spacing w:line="120" w:lineRule="auto"/>
              <w:jc w:val="left"/>
              <w:rPr>
                <w:rFonts w:ascii="宋体" w:hAnsi="宋体"/>
                <w:sz w:val="24"/>
                <w:szCs w:val="24"/>
              </w:rPr>
            </w:pPr>
            <w:r>
              <w:rPr>
                <w:rFonts w:hint="eastAsia" w:ascii="宋体" w:hAnsi="宋体"/>
                <w:sz w:val="24"/>
                <w:szCs w:val="24"/>
              </w:rPr>
              <w:t>2.</w:t>
            </w:r>
            <w:bookmarkStart w:id="0" w:name="OLE_LINK4"/>
            <w:bookmarkStart w:id="1" w:name="OLE_LINK3"/>
            <w:bookmarkStart w:id="2" w:name="OLE_LINK2"/>
            <w:bookmarkStart w:id="3" w:name="OLE_LINK5"/>
            <w:r>
              <w:rPr>
                <w:rFonts w:hint="eastAsia" w:ascii="宋体" w:hAnsi="宋体"/>
                <w:sz w:val="24"/>
                <w:szCs w:val="24"/>
              </w:rPr>
              <w:t>整机免费质保</w:t>
            </w:r>
            <w:r>
              <w:rPr>
                <w:rFonts w:ascii="Arial" w:hAnsi="Arial" w:cs="Arial"/>
                <w:sz w:val="24"/>
                <w:szCs w:val="24"/>
              </w:rPr>
              <w:t>≥</w:t>
            </w:r>
            <w:r>
              <w:rPr>
                <w:rFonts w:hint="eastAsia" w:ascii="宋体" w:hAnsi="宋体"/>
                <w:sz w:val="24"/>
                <w:szCs w:val="24"/>
              </w:rPr>
              <w:t>3年；设备设计使用的耗材必须为开放的耗材，并提供阳光网能点配价格，验收时提供三个以上厂家的耗材使用进行验收。</w:t>
            </w:r>
          </w:p>
          <w:p w14:paraId="217F0741">
            <w:pPr>
              <w:spacing w:line="120" w:lineRule="auto"/>
              <w:jc w:val="left"/>
              <w:rPr>
                <w:rFonts w:ascii="宋体" w:hAnsi="宋体"/>
                <w:sz w:val="24"/>
                <w:szCs w:val="24"/>
              </w:rPr>
            </w:pPr>
            <w:r>
              <w:rPr>
                <w:rFonts w:hint="eastAsia" w:ascii="宋体" w:hAnsi="宋体"/>
                <w:sz w:val="24"/>
                <w:szCs w:val="24"/>
              </w:rPr>
              <w:t>3.验收同时提供纸质版和电子版产品说明书。</w:t>
            </w:r>
            <w:bookmarkEnd w:id="0"/>
            <w:bookmarkEnd w:id="1"/>
            <w:bookmarkEnd w:id="2"/>
            <w:bookmarkEnd w:id="3"/>
            <w:r>
              <w:rPr>
                <w:rFonts w:hint="eastAsia" w:ascii="宋体" w:hAnsi="宋体"/>
                <w:sz w:val="24"/>
                <w:szCs w:val="24"/>
              </w:rPr>
              <w:t>供货时应同时附上中文使用说明书（包括纸质版和电子版）。</w:t>
            </w:r>
          </w:p>
          <w:p w14:paraId="5C8A7426">
            <w:pPr>
              <w:spacing w:line="120" w:lineRule="auto"/>
              <w:jc w:val="left"/>
              <w:rPr>
                <w:rFonts w:ascii="宋体" w:hAnsi="宋体"/>
                <w:sz w:val="24"/>
                <w:szCs w:val="24"/>
              </w:rPr>
            </w:pPr>
            <w:r>
              <w:rPr>
                <w:rFonts w:hint="eastAsia" w:ascii="宋体" w:hAnsi="宋体"/>
                <w:sz w:val="24"/>
                <w:szCs w:val="24"/>
              </w:rPr>
              <w:t>4.</w:t>
            </w:r>
            <w:bookmarkStart w:id="4" w:name="OLE_LINK6"/>
            <w:bookmarkStart w:id="5" w:name="OLE_LINK7"/>
            <w:r>
              <w:rPr>
                <w:rFonts w:hint="eastAsia" w:ascii="宋体" w:hAnsi="宋体"/>
                <w:sz w:val="24"/>
                <w:szCs w:val="24"/>
              </w:rPr>
              <w:t>为确保设备的售后服务质量，乙方必须提供其厂家免费质保三年的售后服务承诺书，包括设备厂家提供产品的终身免费升级服务。</w:t>
            </w:r>
            <w:bookmarkEnd w:id="4"/>
            <w:bookmarkEnd w:id="5"/>
          </w:p>
          <w:p w14:paraId="2E61CB51">
            <w:pPr>
              <w:jc w:val="left"/>
              <w:rPr>
                <w:rFonts w:asciiTheme="minorEastAsia" w:hAnsiTheme="minorEastAsia" w:eastAsiaTheme="minorEastAsia" w:cstheme="minorEastAsia"/>
                <w:sz w:val="24"/>
                <w:szCs w:val="24"/>
              </w:rPr>
            </w:pPr>
            <w:r>
              <w:rPr>
                <w:rFonts w:hint="eastAsia" w:ascii="宋体" w:hAnsi="宋体"/>
                <w:sz w:val="24"/>
                <w:szCs w:val="24"/>
              </w:rPr>
              <w:t>5.设备数据涉及接入我院HIS网络的，验收时按我院要求能查询到HIS网络数据，产生的费用全部由中标方承担</w:t>
            </w:r>
            <w:r>
              <w:rPr>
                <w:rFonts w:hint="eastAsia" w:asciiTheme="minorEastAsia" w:hAnsiTheme="minorEastAsia" w:eastAsiaTheme="minorEastAsia" w:cstheme="minorEastAsia"/>
                <w:sz w:val="24"/>
                <w:szCs w:val="24"/>
              </w:rPr>
              <w:t>。</w:t>
            </w:r>
          </w:p>
          <w:p w14:paraId="47DC14FB">
            <w:pPr>
              <w:spacing w:line="400" w:lineRule="exact"/>
              <w:jc w:val="left"/>
              <w:rPr>
                <w:rFonts w:ascii="宋体" w:hAnsi="宋体"/>
                <w:sz w:val="24"/>
                <w:szCs w:val="24"/>
              </w:rPr>
            </w:pPr>
            <w:r>
              <w:rPr>
                <w:rFonts w:hint="eastAsia" w:ascii="宋体" w:hAnsi="宋体"/>
                <w:sz w:val="24"/>
                <w:szCs w:val="24"/>
              </w:rPr>
              <w:t>6．在广西省内设有办事处，配备售后服务工程师，定期巡检培训；</w:t>
            </w:r>
          </w:p>
          <w:p w14:paraId="37DF5891">
            <w:pPr>
              <w:spacing w:line="400" w:lineRule="exact"/>
              <w:jc w:val="left"/>
              <w:rPr>
                <w:rFonts w:ascii="宋体" w:hAnsi="宋体"/>
                <w:sz w:val="24"/>
                <w:szCs w:val="24"/>
              </w:rPr>
            </w:pPr>
            <w:r>
              <w:rPr>
                <w:rFonts w:hint="eastAsia" w:ascii="宋体" w:hAnsi="宋体"/>
                <w:sz w:val="24"/>
                <w:szCs w:val="24"/>
              </w:rPr>
              <w:t>7．产品零配件国内供应及时；设备主机保修</w:t>
            </w:r>
            <w:r>
              <w:rPr>
                <w:rFonts w:ascii="宋体" w:hAnsi="宋体"/>
                <w:sz w:val="24"/>
                <w:szCs w:val="24"/>
              </w:rPr>
              <w:t>3</w:t>
            </w:r>
            <w:r>
              <w:rPr>
                <w:rFonts w:hint="eastAsia" w:ascii="宋体" w:hAnsi="宋体"/>
                <w:sz w:val="24"/>
                <w:szCs w:val="24"/>
              </w:rPr>
              <w:t>年；终身维护；</w:t>
            </w:r>
          </w:p>
          <w:p w14:paraId="1FD6DE7C">
            <w:pPr>
              <w:jc w:val="left"/>
              <w:rPr>
                <w:sz w:val="24"/>
              </w:rPr>
            </w:pPr>
            <w:r>
              <w:rPr>
                <w:rFonts w:hint="eastAsia" w:ascii="宋体" w:hAnsi="宋体"/>
                <w:sz w:val="24"/>
                <w:szCs w:val="24"/>
              </w:rPr>
              <w:t>8．维修响应时间：2小时响应，48小时未解决问题提供备用机使用。</w:t>
            </w:r>
          </w:p>
        </w:tc>
      </w:tr>
    </w:tbl>
    <w:p w14:paraId="7A6E35FE">
      <w:pPr>
        <w:pStyle w:val="2"/>
        <w:rPr>
          <w:rFonts w:ascii="Times New Roman" w:hAnsi="Times New Roman" w:cs="Times New Roman"/>
          <w:sz w:val="28"/>
          <w:szCs w:val="28"/>
        </w:rPr>
      </w:pPr>
      <w:r>
        <w:rPr>
          <w:rFonts w:hint="eastAsia" w:ascii="Times New Roman" w:hAnsi="Times New Roman" w:cs="Times New Roman"/>
          <w:sz w:val="28"/>
          <w:szCs w:val="28"/>
        </w:rPr>
        <w:t>三、配件</w:t>
      </w:r>
    </w:p>
    <w:p w14:paraId="449E5260">
      <w:pPr>
        <w:pStyle w:val="2"/>
        <w:ind w:firstLine="560" w:firstLineChars="200"/>
        <w:rPr>
          <w:rFonts w:ascii="Times New Roman" w:hAnsi="Times New Roman" w:cs="Times New Roman"/>
          <w:sz w:val="28"/>
          <w:szCs w:val="28"/>
        </w:rPr>
      </w:pPr>
      <w:r>
        <w:rPr>
          <w:rFonts w:hint="eastAsia" w:ascii="Times New Roman" w:hAnsi="Times New Roman" w:cs="Times New Roman"/>
          <w:sz w:val="28"/>
          <w:szCs w:val="28"/>
        </w:rPr>
        <w:t>设备出保修期后配件的价格：</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2521"/>
        <w:gridCol w:w="1704"/>
        <w:gridCol w:w="1704"/>
        <w:gridCol w:w="1704"/>
      </w:tblGrid>
      <w:tr w14:paraId="40320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center"/>
          </w:tcPr>
          <w:p w14:paraId="290FAD53">
            <w:pPr>
              <w:pStyle w:val="2"/>
              <w:jc w:val="center"/>
              <w:rPr>
                <w:rFonts w:ascii="Times New Roman" w:hAnsi="Times New Roman" w:cs="Times New Roman"/>
                <w:sz w:val="28"/>
                <w:szCs w:val="28"/>
              </w:rPr>
            </w:pPr>
            <w:r>
              <w:rPr>
                <w:rFonts w:hint="eastAsia" w:ascii="Times New Roman" w:hAnsi="Times New Roman" w:cs="Times New Roman"/>
                <w:sz w:val="28"/>
                <w:szCs w:val="28"/>
              </w:rPr>
              <w:t>序号</w:t>
            </w:r>
          </w:p>
        </w:tc>
        <w:tc>
          <w:tcPr>
            <w:tcW w:w="2521" w:type="dxa"/>
            <w:vAlign w:val="center"/>
          </w:tcPr>
          <w:p w14:paraId="3779DDD5">
            <w:pPr>
              <w:pStyle w:val="2"/>
              <w:jc w:val="center"/>
              <w:rPr>
                <w:rFonts w:ascii="Times New Roman" w:hAnsi="Times New Roman" w:cs="Times New Roman"/>
                <w:sz w:val="28"/>
                <w:szCs w:val="28"/>
              </w:rPr>
            </w:pPr>
            <w:r>
              <w:rPr>
                <w:rFonts w:hint="eastAsia" w:ascii="Times New Roman" w:hAnsi="Times New Roman" w:cs="Times New Roman"/>
                <w:sz w:val="28"/>
                <w:szCs w:val="28"/>
              </w:rPr>
              <w:t>配件名称</w:t>
            </w:r>
          </w:p>
        </w:tc>
        <w:tc>
          <w:tcPr>
            <w:tcW w:w="1704" w:type="dxa"/>
            <w:vAlign w:val="center"/>
          </w:tcPr>
          <w:p w14:paraId="0295EC34">
            <w:pPr>
              <w:pStyle w:val="2"/>
              <w:jc w:val="center"/>
              <w:rPr>
                <w:rFonts w:ascii="Times New Roman" w:hAnsi="Times New Roman" w:cs="Times New Roman"/>
                <w:sz w:val="28"/>
                <w:szCs w:val="28"/>
              </w:rPr>
            </w:pPr>
            <w:r>
              <w:rPr>
                <w:rFonts w:hint="eastAsia" w:ascii="Times New Roman" w:hAnsi="Times New Roman" w:cs="Times New Roman"/>
                <w:sz w:val="28"/>
                <w:szCs w:val="28"/>
              </w:rPr>
              <w:t>更换频率（次/年）</w:t>
            </w:r>
          </w:p>
        </w:tc>
        <w:tc>
          <w:tcPr>
            <w:tcW w:w="1704" w:type="dxa"/>
            <w:vAlign w:val="center"/>
          </w:tcPr>
          <w:p w14:paraId="2C344D53">
            <w:pPr>
              <w:pStyle w:val="2"/>
              <w:jc w:val="center"/>
              <w:rPr>
                <w:rFonts w:ascii="Times New Roman" w:hAnsi="Times New Roman" w:cs="Times New Roman"/>
                <w:sz w:val="28"/>
                <w:szCs w:val="28"/>
              </w:rPr>
            </w:pPr>
            <w:r>
              <w:rPr>
                <w:rFonts w:hint="eastAsia" w:ascii="Times New Roman" w:hAnsi="Times New Roman" w:cs="Times New Roman"/>
                <w:sz w:val="28"/>
                <w:szCs w:val="28"/>
              </w:rPr>
              <w:t>配件价格（元）</w:t>
            </w:r>
          </w:p>
        </w:tc>
        <w:tc>
          <w:tcPr>
            <w:tcW w:w="1704" w:type="dxa"/>
            <w:vAlign w:val="center"/>
          </w:tcPr>
          <w:p w14:paraId="6391FA6B">
            <w:pPr>
              <w:pStyle w:val="2"/>
              <w:jc w:val="center"/>
              <w:rPr>
                <w:rFonts w:ascii="Times New Roman" w:hAnsi="Times New Roman" w:cs="Times New Roman"/>
                <w:sz w:val="28"/>
                <w:szCs w:val="28"/>
              </w:rPr>
            </w:pPr>
            <w:r>
              <w:rPr>
                <w:rFonts w:hint="eastAsia" w:ascii="Times New Roman" w:hAnsi="Times New Roman" w:cs="Times New Roman"/>
                <w:sz w:val="28"/>
                <w:szCs w:val="28"/>
              </w:rPr>
              <w:t>年合计费用（元）</w:t>
            </w:r>
          </w:p>
        </w:tc>
      </w:tr>
      <w:tr w14:paraId="54C16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298BAB09">
            <w:pPr>
              <w:pStyle w:val="2"/>
              <w:jc w:val="center"/>
              <w:rPr>
                <w:rFonts w:ascii="Times New Roman" w:hAnsi="Times New Roman" w:cs="Times New Roman"/>
                <w:sz w:val="28"/>
                <w:szCs w:val="28"/>
              </w:rPr>
            </w:pPr>
            <w:r>
              <w:rPr>
                <w:rFonts w:hint="eastAsia" w:ascii="Times New Roman" w:hAnsi="Times New Roman" w:cs="Times New Roman"/>
                <w:sz w:val="28"/>
                <w:szCs w:val="28"/>
              </w:rPr>
              <w:t>1</w:t>
            </w:r>
          </w:p>
        </w:tc>
        <w:tc>
          <w:tcPr>
            <w:tcW w:w="2521" w:type="dxa"/>
          </w:tcPr>
          <w:p w14:paraId="522A0A30">
            <w:pPr>
              <w:pStyle w:val="2"/>
              <w:rPr>
                <w:rFonts w:ascii="Times New Roman" w:hAnsi="Times New Roman" w:cs="Times New Roman"/>
                <w:sz w:val="28"/>
                <w:szCs w:val="28"/>
              </w:rPr>
            </w:pPr>
          </w:p>
        </w:tc>
        <w:tc>
          <w:tcPr>
            <w:tcW w:w="1704" w:type="dxa"/>
          </w:tcPr>
          <w:p w14:paraId="442FA534">
            <w:pPr>
              <w:pStyle w:val="2"/>
              <w:rPr>
                <w:rFonts w:ascii="Times New Roman" w:hAnsi="Times New Roman" w:cs="Times New Roman"/>
                <w:sz w:val="28"/>
                <w:szCs w:val="28"/>
              </w:rPr>
            </w:pPr>
          </w:p>
        </w:tc>
        <w:tc>
          <w:tcPr>
            <w:tcW w:w="1704" w:type="dxa"/>
          </w:tcPr>
          <w:p w14:paraId="1C1DC4D4">
            <w:pPr>
              <w:pStyle w:val="2"/>
              <w:rPr>
                <w:rFonts w:ascii="Times New Roman" w:hAnsi="Times New Roman" w:cs="Times New Roman"/>
                <w:sz w:val="28"/>
                <w:szCs w:val="28"/>
              </w:rPr>
            </w:pPr>
          </w:p>
        </w:tc>
        <w:tc>
          <w:tcPr>
            <w:tcW w:w="1704" w:type="dxa"/>
          </w:tcPr>
          <w:p w14:paraId="64823849">
            <w:pPr>
              <w:pStyle w:val="2"/>
              <w:rPr>
                <w:rFonts w:ascii="Times New Roman" w:hAnsi="Times New Roman" w:cs="Times New Roman"/>
                <w:sz w:val="28"/>
                <w:szCs w:val="28"/>
              </w:rPr>
            </w:pPr>
          </w:p>
        </w:tc>
      </w:tr>
      <w:tr w14:paraId="1CBBB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2E502E1C">
            <w:pPr>
              <w:pStyle w:val="2"/>
              <w:jc w:val="center"/>
              <w:rPr>
                <w:rFonts w:ascii="Times New Roman" w:hAnsi="Times New Roman" w:cs="Times New Roman"/>
                <w:sz w:val="28"/>
                <w:szCs w:val="28"/>
              </w:rPr>
            </w:pPr>
            <w:r>
              <w:rPr>
                <w:rFonts w:hint="eastAsia" w:ascii="Times New Roman" w:hAnsi="Times New Roman" w:cs="Times New Roman"/>
                <w:sz w:val="28"/>
                <w:szCs w:val="28"/>
              </w:rPr>
              <w:t>2</w:t>
            </w:r>
          </w:p>
        </w:tc>
        <w:tc>
          <w:tcPr>
            <w:tcW w:w="2521" w:type="dxa"/>
          </w:tcPr>
          <w:p w14:paraId="77E523AD">
            <w:pPr>
              <w:pStyle w:val="2"/>
              <w:rPr>
                <w:rFonts w:ascii="Times New Roman" w:hAnsi="Times New Roman" w:cs="Times New Roman"/>
                <w:sz w:val="28"/>
                <w:szCs w:val="28"/>
              </w:rPr>
            </w:pPr>
          </w:p>
        </w:tc>
        <w:tc>
          <w:tcPr>
            <w:tcW w:w="1704" w:type="dxa"/>
          </w:tcPr>
          <w:p w14:paraId="18180205">
            <w:pPr>
              <w:pStyle w:val="2"/>
              <w:rPr>
                <w:rFonts w:ascii="Times New Roman" w:hAnsi="Times New Roman" w:cs="Times New Roman"/>
                <w:sz w:val="28"/>
                <w:szCs w:val="28"/>
              </w:rPr>
            </w:pPr>
          </w:p>
        </w:tc>
        <w:tc>
          <w:tcPr>
            <w:tcW w:w="1704" w:type="dxa"/>
          </w:tcPr>
          <w:p w14:paraId="3B0AA591">
            <w:pPr>
              <w:pStyle w:val="2"/>
              <w:rPr>
                <w:rFonts w:ascii="Times New Roman" w:hAnsi="Times New Roman" w:cs="Times New Roman"/>
                <w:sz w:val="28"/>
                <w:szCs w:val="28"/>
              </w:rPr>
            </w:pPr>
          </w:p>
        </w:tc>
        <w:tc>
          <w:tcPr>
            <w:tcW w:w="1704" w:type="dxa"/>
          </w:tcPr>
          <w:p w14:paraId="67B10BDC">
            <w:pPr>
              <w:pStyle w:val="2"/>
              <w:rPr>
                <w:rFonts w:ascii="Times New Roman" w:hAnsi="Times New Roman" w:cs="Times New Roman"/>
                <w:sz w:val="28"/>
                <w:szCs w:val="28"/>
              </w:rPr>
            </w:pPr>
          </w:p>
        </w:tc>
      </w:tr>
      <w:tr w14:paraId="69C8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77C566C5">
            <w:pPr>
              <w:pStyle w:val="2"/>
              <w:jc w:val="center"/>
              <w:rPr>
                <w:rFonts w:ascii="Times New Roman" w:hAnsi="Times New Roman" w:cs="Times New Roman"/>
                <w:sz w:val="28"/>
                <w:szCs w:val="28"/>
              </w:rPr>
            </w:pPr>
            <w:r>
              <w:rPr>
                <w:rFonts w:hint="eastAsia" w:ascii="Times New Roman" w:hAnsi="Times New Roman" w:cs="Times New Roman"/>
                <w:sz w:val="28"/>
                <w:szCs w:val="28"/>
              </w:rPr>
              <w:t>3</w:t>
            </w:r>
          </w:p>
        </w:tc>
        <w:tc>
          <w:tcPr>
            <w:tcW w:w="2521" w:type="dxa"/>
          </w:tcPr>
          <w:p w14:paraId="4BB382E6">
            <w:pPr>
              <w:pStyle w:val="2"/>
              <w:rPr>
                <w:rFonts w:ascii="Times New Roman" w:hAnsi="Times New Roman" w:cs="Times New Roman"/>
                <w:sz w:val="28"/>
                <w:szCs w:val="28"/>
              </w:rPr>
            </w:pPr>
          </w:p>
        </w:tc>
        <w:tc>
          <w:tcPr>
            <w:tcW w:w="1704" w:type="dxa"/>
          </w:tcPr>
          <w:p w14:paraId="474E5F0D">
            <w:pPr>
              <w:pStyle w:val="2"/>
              <w:rPr>
                <w:rFonts w:ascii="Times New Roman" w:hAnsi="Times New Roman" w:cs="Times New Roman"/>
                <w:sz w:val="28"/>
                <w:szCs w:val="28"/>
              </w:rPr>
            </w:pPr>
          </w:p>
        </w:tc>
        <w:tc>
          <w:tcPr>
            <w:tcW w:w="1704" w:type="dxa"/>
          </w:tcPr>
          <w:p w14:paraId="198F8300">
            <w:pPr>
              <w:pStyle w:val="2"/>
              <w:rPr>
                <w:rFonts w:ascii="Times New Roman" w:hAnsi="Times New Roman" w:cs="Times New Roman"/>
                <w:sz w:val="28"/>
                <w:szCs w:val="28"/>
              </w:rPr>
            </w:pPr>
          </w:p>
        </w:tc>
        <w:tc>
          <w:tcPr>
            <w:tcW w:w="1704" w:type="dxa"/>
          </w:tcPr>
          <w:p w14:paraId="41D990D3">
            <w:pPr>
              <w:pStyle w:val="2"/>
              <w:rPr>
                <w:rFonts w:ascii="Times New Roman" w:hAnsi="Times New Roman" w:cs="Times New Roman"/>
                <w:sz w:val="28"/>
                <w:szCs w:val="28"/>
              </w:rPr>
            </w:pPr>
          </w:p>
        </w:tc>
      </w:tr>
      <w:tr w14:paraId="0B972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6B91AE24">
            <w:pPr>
              <w:pStyle w:val="2"/>
              <w:jc w:val="center"/>
              <w:rPr>
                <w:rFonts w:ascii="Times New Roman" w:hAnsi="Times New Roman" w:cs="Times New Roman"/>
                <w:sz w:val="28"/>
                <w:szCs w:val="28"/>
              </w:rPr>
            </w:pPr>
            <w:bookmarkStart w:id="6" w:name="_GoBack"/>
            <w:r>
              <w:rPr>
                <w:rFonts w:hint="eastAsia" w:ascii="Times New Roman" w:hAnsi="Times New Roman" w:cs="Times New Roman"/>
                <w:sz w:val="28"/>
                <w:szCs w:val="28"/>
              </w:rPr>
              <w:t>4</w:t>
            </w:r>
          </w:p>
        </w:tc>
        <w:tc>
          <w:tcPr>
            <w:tcW w:w="2521" w:type="dxa"/>
          </w:tcPr>
          <w:p w14:paraId="6BD1324C">
            <w:pPr>
              <w:pStyle w:val="2"/>
              <w:rPr>
                <w:rFonts w:ascii="Times New Roman" w:hAnsi="Times New Roman" w:cs="Times New Roman"/>
                <w:sz w:val="28"/>
                <w:szCs w:val="28"/>
              </w:rPr>
            </w:pPr>
          </w:p>
        </w:tc>
        <w:tc>
          <w:tcPr>
            <w:tcW w:w="1704" w:type="dxa"/>
          </w:tcPr>
          <w:p w14:paraId="1929C06C">
            <w:pPr>
              <w:pStyle w:val="2"/>
              <w:rPr>
                <w:rFonts w:ascii="Times New Roman" w:hAnsi="Times New Roman" w:cs="Times New Roman"/>
                <w:sz w:val="28"/>
                <w:szCs w:val="28"/>
              </w:rPr>
            </w:pPr>
          </w:p>
        </w:tc>
        <w:tc>
          <w:tcPr>
            <w:tcW w:w="1704" w:type="dxa"/>
          </w:tcPr>
          <w:p w14:paraId="02E02F0E">
            <w:pPr>
              <w:pStyle w:val="2"/>
              <w:rPr>
                <w:rFonts w:ascii="Times New Roman" w:hAnsi="Times New Roman" w:cs="Times New Roman"/>
                <w:sz w:val="28"/>
                <w:szCs w:val="28"/>
              </w:rPr>
            </w:pPr>
          </w:p>
        </w:tc>
        <w:tc>
          <w:tcPr>
            <w:tcW w:w="1704" w:type="dxa"/>
          </w:tcPr>
          <w:p w14:paraId="3B0A7B1F">
            <w:pPr>
              <w:pStyle w:val="2"/>
              <w:rPr>
                <w:rFonts w:ascii="Times New Roman" w:hAnsi="Times New Roman" w:cs="Times New Roman"/>
                <w:sz w:val="28"/>
                <w:szCs w:val="28"/>
              </w:rPr>
            </w:pPr>
          </w:p>
        </w:tc>
      </w:tr>
      <w:bookmarkEnd w:id="6"/>
      <w:tr w14:paraId="5E02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196A7557">
            <w:pPr>
              <w:pStyle w:val="2"/>
              <w:jc w:val="center"/>
              <w:rPr>
                <w:rFonts w:ascii="Times New Roman" w:hAnsi="Times New Roman" w:cs="Times New Roman"/>
                <w:sz w:val="28"/>
                <w:szCs w:val="28"/>
              </w:rPr>
            </w:pPr>
            <w:r>
              <w:rPr>
                <w:rFonts w:hint="eastAsia" w:ascii="微软雅黑" w:hAnsi="微软雅黑" w:eastAsia="微软雅黑" w:cs="微软雅黑"/>
                <w:sz w:val="28"/>
                <w:szCs w:val="28"/>
              </w:rPr>
              <w:t>……</w:t>
            </w:r>
          </w:p>
        </w:tc>
        <w:tc>
          <w:tcPr>
            <w:tcW w:w="2521" w:type="dxa"/>
          </w:tcPr>
          <w:p w14:paraId="2A86CFCE">
            <w:pPr>
              <w:pStyle w:val="2"/>
              <w:rPr>
                <w:rFonts w:ascii="Times New Roman" w:hAnsi="Times New Roman" w:cs="Times New Roman"/>
                <w:sz w:val="28"/>
                <w:szCs w:val="28"/>
              </w:rPr>
            </w:pPr>
          </w:p>
        </w:tc>
        <w:tc>
          <w:tcPr>
            <w:tcW w:w="1704" w:type="dxa"/>
          </w:tcPr>
          <w:p w14:paraId="31FF54F4">
            <w:pPr>
              <w:pStyle w:val="2"/>
              <w:rPr>
                <w:rFonts w:ascii="Times New Roman" w:hAnsi="Times New Roman" w:cs="Times New Roman"/>
                <w:sz w:val="28"/>
                <w:szCs w:val="28"/>
              </w:rPr>
            </w:pPr>
          </w:p>
        </w:tc>
        <w:tc>
          <w:tcPr>
            <w:tcW w:w="1704" w:type="dxa"/>
          </w:tcPr>
          <w:p w14:paraId="5CAF2FAA">
            <w:pPr>
              <w:pStyle w:val="2"/>
              <w:rPr>
                <w:rFonts w:ascii="Times New Roman" w:hAnsi="Times New Roman" w:cs="Times New Roman"/>
                <w:sz w:val="28"/>
                <w:szCs w:val="28"/>
              </w:rPr>
            </w:pPr>
          </w:p>
        </w:tc>
        <w:tc>
          <w:tcPr>
            <w:tcW w:w="1704" w:type="dxa"/>
          </w:tcPr>
          <w:p w14:paraId="2808771B">
            <w:pPr>
              <w:pStyle w:val="2"/>
              <w:rPr>
                <w:rFonts w:ascii="Times New Roman" w:hAnsi="Times New Roman" w:cs="Times New Roman"/>
                <w:sz w:val="28"/>
                <w:szCs w:val="28"/>
              </w:rPr>
            </w:pPr>
          </w:p>
        </w:tc>
      </w:tr>
      <w:tr w14:paraId="4B13D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14:paraId="65093E19">
            <w:pPr>
              <w:pStyle w:val="2"/>
              <w:rPr>
                <w:rFonts w:ascii="Times New Roman" w:hAnsi="Times New Roman" w:cs="Times New Roman"/>
                <w:sz w:val="28"/>
                <w:szCs w:val="28"/>
              </w:rPr>
            </w:pPr>
            <w:r>
              <w:rPr>
                <w:rFonts w:hint="eastAsia" w:ascii="Times New Roman" w:hAnsi="Times New Roman" w:cs="Times New Roman"/>
                <w:sz w:val="28"/>
                <w:szCs w:val="28"/>
              </w:rPr>
              <w:t>合计</w:t>
            </w:r>
          </w:p>
        </w:tc>
        <w:tc>
          <w:tcPr>
            <w:tcW w:w="2521" w:type="dxa"/>
          </w:tcPr>
          <w:p w14:paraId="47C213F0">
            <w:pPr>
              <w:pStyle w:val="2"/>
              <w:rPr>
                <w:rFonts w:ascii="Times New Roman" w:hAnsi="Times New Roman" w:cs="Times New Roman"/>
                <w:sz w:val="28"/>
                <w:szCs w:val="28"/>
              </w:rPr>
            </w:pPr>
          </w:p>
        </w:tc>
        <w:tc>
          <w:tcPr>
            <w:tcW w:w="1704" w:type="dxa"/>
          </w:tcPr>
          <w:p w14:paraId="1A3E77DB">
            <w:pPr>
              <w:pStyle w:val="2"/>
              <w:rPr>
                <w:rFonts w:ascii="Times New Roman" w:hAnsi="Times New Roman" w:cs="Times New Roman"/>
                <w:sz w:val="28"/>
                <w:szCs w:val="28"/>
              </w:rPr>
            </w:pPr>
          </w:p>
        </w:tc>
        <w:tc>
          <w:tcPr>
            <w:tcW w:w="1704" w:type="dxa"/>
          </w:tcPr>
          <w:p w14:paraId="4AE2E1A6">
            <w:pPr>
              <w:pStyle w:val="2"/>
              <w:rPr>
                <w:rFonts w:ascii="Times New Roman" w:hAnsi="Times New Roman" w:cs="Times New Roman"/>
                <w:sz w:val="28"/>
                <w:szCs w:val="28"/>
              </w:rPr>
            </w:pPr>
          </w:p>
        </w:tc>
        <w:tc>
          <w:tcPr>
            <w:tcW w:w="1704" w:type="dxa"/>
          </w:tcPr>
          <w:p w14:paraId="67155620">
            <w:pPr>
              <w:pStyle w:val="2"/>
              <w:rPr>
                <w:rFonts w:ascii="Times New Roman" w:hAnsi="Times New Roman" w:cs="Times New Roman"/>
                <w:sz w:val="28"/>
                <w:szCs w:val="28"/>
              </w:rPr>
            </w:pPr>
          </w:p>
        </w:tc>
      </w:tr>
    </w:tbl>
    <w:p w14:paraId="7E47F531">
      <w:pPr>
        <w:rPr>
          <w:b/>
          <w:bCs/>
          <w:color w:val="C00000"/>
          <w:sz w:val="28"/>
          <w:szCs w:val="28"/>
        </w:rPr>
      </w:pPr>
      <w:r>
        <w:rPr>
          <w:rFonts w:hint="eastAsia" w:ascii="宋体" w:hAnsi="宋体" w:cs="宋体"/>
          <w:b/>
          <w:bCs/>
          <w:color w:val="C00000"/>
          <w:sz w:val="28"/>
          <w:szCs w:val="28"/>
        </w:rPr>
        <w:t>（备注：此表由供应商填写，作为评标的重要依据。）</w:t>
      </w:r>
    </w:p>
    <w:p w14:paraId="44E8D8BC">
      <w:pPr>
        <w:pStyle w:val="2"/>
        <w:ind w:firstLine="560" w:firstLineChars="200"/>
        <w:rPr>
          <w:rFonts w:ascii="Times New Roman" w:hAnsi="Times New Roman" w:cs="Times New Roman"/>
          <w:sz w:val="28"/>
          <w:szCs w:val="28"/>
        </w:rPr>
      </w:pPr>
      <w:r>
        <w:rPr>
          <w:rFonts w:hint="eastAsia" w:ascii="Times New Roman" w:hAnsi="Times New Roman" w:cs="Times New Roman"/>
          <w:sz w:val="28"/>
          <w:szCs w:val="28"/>
        </w:rPr>
        <w:t>四、设备和耗材、检验试剂的关系</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996"/>
        <w:gridCol w:w="683"/>
        <w:gridCol w:w="839"/>
        <w:gridCol w:w="840"/>
        <w:gridCol w:w="840"/>
        <w:gridCol w:w="849"/>
        <w:gridCol w:w="836"/>
        <w:gridCol w:w="836"/>
        <w:gridCol w:w="836"/>
      </w:tblGrid>
      <w:tr w14:paraId="38D44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967" w:type="dxa"/>
            <w:vAlign w:val="center"/>
          </w:tcPr>
          <w:p w14:paraId="55846A5E">
            <w:pPr>
              <w:jc w:val="center"/>
              <w:rPr>
                <w:rFonts w:ascii="宋体" w:hAnsi="宋体" w:cs="宋体"/>
              </w:rPr>
            </w:pPr>
            <w:r>
              <w:rPr>
                <w:rFonts w:hint="eastAsia" w:ascii="宋体" w:hAnsi="宋体" w:cs="宋体"/>
              </w:rPr>
              <w:t>设备名称</w:t>
            </w:r>
          </w:p>
        </w:tc>
        <w:tc>
          <w:tcPr>
            <w:tcW w:w="996" w:type="dxa"/>
            <w:vAlign w:val="center"/>
          </w:tcPr>
          <w:p w14:paraId="012A8B93">
            <w:pPr>
              <w:jc w:val="center"/>
              <w:rPr>
                <w:rFonts w:ascii="宋体" w:hAnsi="宋体" w:cs="宋体"/>
              </w:rPr>
            </w:pPr>
            <w:r>
              <w:rPr>
                <w:rFonts w:hint="eastAsia" w:ascii="宋体" w:hAnsi="宋体" w:cs="宋体"/>
              </w:rPr>
              <w:t>设备单价（元）</w:t>
            </w:r>
          </w:p>
        </w:tc>
        <w:tc>
          <w:tcPr>
            <w:tcW w:w="683" w:type="dxa"/>
            <w:vAlign w:val="center"/>
          </w:tcPr>
          <w:p w14:paraId="1BA90805">
            <w:pPr>
              <w:jc w:val="center"/>
              <w:rPr>
                <w:rFonts w:ascii="宋体" w:hAnsi="宋体" w:cs="宋体"/>
              </w:rPr>
            </w:pPr>
            <w:r>
              <w:rPr>
                <w:rFonts w:hint="eastAsia" w:ascii="宋体" w:hAnsi="宋体" w:cs="宋体"/>
              </w:rPr>
              <w:t>国产/进口</w:t>
            </w:r>
          </w:p>
        </w:tc>
        <w:tc>
          <w:tcPr>
            <w:tcW w:w="839" w:type="dxa"/>
            <w:vAlign w:val="center"/>
          </w:tcPr>
          <w:p w14:paraId="5F6977BB">
            <w:pPr>
              <w:jc w:val="center"/>
              <w:rPr>
                <w:rFonts w:ascii="宋体" w:hAnsi="宋体" w:cs="宋体"/>
              </w:rPr>
            </w:pPr>
            <w:r>
              <w:rPr>
                <w:rFonts w:hint="eastAsia" w:ascii="宋体" w:hAnsi="宋体" w:cs="宋体"/>
              </w:rPr>
              <w:t>是否专机专用耗材</w:t>
            </w:r>
          </w:p>
        </w:tc>
        <w:tc>
          <w:tcPr>
            <w:tcW w:w="840" w:type="dxa"/>
            <w:vAlign w:val="center"/>
          </w:tcPr>
          <w:p w14:paraId="4D77E980">
            <w:pPr>
              <w:jc w:val="center"/>
              <w:rPr>
                <w:rFonts w:ascii="宋体" w:hAnsi="宋体" w:cs="宋体"/>
              </w:rPr>
            </w:pPr>
            <w:r>
              <w:rPr>
                <w:rFonts w:hint="eastAsia" w:ascii="宋体" w:hAnsi="宋体" w:cs="宋体"/>
              </w:rPr>
              <w:t>耗材品牌</w:t>
            </w:r>
          </w:p>
        </w:tc>
        <w:tc>
          <w:tcPr>
            <w:tcW w:w="840" w:type="dxa"/>
            <w:vAlign w:val="center"/>
          </w:tcPr>
          <w:p w14:paraId="4AD52D3A">
            <w:pPr>
              <w:jc w:val="center"/>
              <w:rPr>
                <w:rFonts w:ascii="宋体" w:hAnsi="宋体" w:cs="宋体"/>
              </w:rPr>
            </w:pPr>
            <w:r>
              <w:rPr>
                <w:rFonts w:hint="eastAsia" w:ascii="宋体" w:hAnsi="宋体" w:cs="宋体"/>
              </w:rPr>
              <w:t>耗材名称</w:t>
            </w:r>
          </w:p>
        </w:tc>
        <w:tc>
          <w:tcPr>
            <w:tcW w:w="849" w:type="dxa"/>
            <w:vAlign w:val="center"/>
          </w:tcPr>
          <w:p w14:paraId="53DE1384">
            <w:pPr>
              <w:rPr>
                <w:rFonts w:ascii="宋体" w:hAnsi="宋体" w:cs="宋体"/>
              </w:rPr>
            </w:pPr>
            <w:r>
              <w:rPr>
                <w:rFonts w:hint="eastAsia" w:ascii="宋体" w:hAnsi="宋体" w:cs="宋体"/>
              </w:rPr>
              <w:t>集采/阳光网</w:t>
            </w:r>
          </w:p>
        </w:tc>
        <w:tc>
          <w:tcPr>
            <w:tcW w:w="836" w:type="dxa"/>
            <w:vAlign w:val="center"/>
          </w:tcPr>
          <w:p w14:paraId="54A9A6B7">
            <w:pPr>
              <w:jc w:val="center"/>
              <w:rPr>
                <w:rFonts w:ascii="宋体" w:hAnsi="宋体" w:cs="宋体"/>
              </w:rPr>
            </w:pPr>
            <w:r>
              <w:rPr>
                <w:rFonts w:hint="eastAsia" w:ascii="宋体" w:hAnsi="宋体" w:cs="宋体"/>
              </w:rPr>
              <w:t>集采价格</w:t>
            </w:r>
          </w:p>
        </w:tc>
        <w:tc>
          <w:tcPr>
            <w:tcW w:w="836" w:type="dxa"/>
            <w:vAlign w:val="center"/>
          </w:tcPr>
          <w:p w14:paraId="0A46656C">
            <w:pPr>
              <w:jc w:val="center"/>
              <w:rPr>
                <w:rFonts w:ascii="宋体" w:hAnsi="宋体" w:cs="宋体"/>
              </w:rPr>
            </w:pPr>
            <w:r>
              <w:rPr>
                <w:rFonts w:hint="eastAsia" w:ascii="宋体" w:hAnsi="宋体" w:cs="宋体"/>
              </w:rPr>
              <w:t>阳光网价格</w:t>
            </w:r>
          </w:p>
        </w:tc>
        <w:tc>
          <w:tcPr>
            <w:tcW w:w="836" w:type="dxa"/>
            <w:vAlign w:val="center"/>
          </w:tcPr>
          <w:p w14:paraId="3CFD3F56">
            <w:pPr>
              <w:jc w:val="center"/>
              <w:rPr>
                <w:rFonts w:ascii="宋体" w:hAnsi="宋体" w:cs="宋体"/>
              </w:rPr>
            </w:pPr>
            <w:r>
              <w:rPr>
                <w:rFonts w:hint="eastAsia" w:ascii="宋体" w:hAnsi="宋体" w:cs="宋体"/>
              </w:rPr>
              <w:t>阳光网成交价格</w:t>
            </w:r>
          </w:p>
        </w:tc>
      </w:tr>
      <w:tr w14:paraId="24578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67" w:type="dxa"/>
            <w:vAlign w:val="center"/>
          </w:tcPr>
          <w:p w14:paraId="604A2DF8">
            <w:pPr>
              <w:rPr>
                <w:rFonts w:ascii="宋体" w:hAnsi="宋体" w:cs="宋体"/>
              </w:rPr>
            </w:pPr>
          </w:p>
        </w:tc>
        <w:tc>
          <w:tcPr>
            <w:tcW w:w="996" w:type="dxa"/>
            <w:vAlign w:val="center"/>
          </w:tcPr>
          <w:p w14:paraId="2876D228">
            <w:pPr>
              <w:rPr>
                <w:rFonts w:ascii="宋体" w:hAnsi="宋体" w:cs="宋体"/>
              </w:rPr>
            </w:pPr>
          </w:p>
        </w:tc>
        <w:tc>
          <w:tcPr>
            <w:tcW w:w="683" w:type="dxa"/>
            <w:vAlign w:val="center"/>
          </w:tcPr>
          <w:p w14:paraId="147F7FEF">
            <w:pPr>
              <w:rPr>
                <w:rFonts w:ascii="宋体" w:hAnsi="宋体" w:cs="宋体"/>
              </w:rPr>
            </w:pPr>
          </w:p>
        </w:tc>
        <w:tc>
          <w:tcPr>
            <w:tcW w:w="839" w:type="dxa"/>
            <w:vAlign w:val="center"/>
          </w:tcPr>
          <w:p w14:paraId="339C0268">
            <w:pPr>
              <w:rPr>
                <w:rFonts w:ascii="宋体" w:hAnsi="宋体" w:cs="宋体"/>
              </w:rPr>
            </w:pPr>
          </w:p>
        </w:tc>
        <w:tc>
          <w:tcPr>
            <w:tcW w:w="840" w:type="dxa"/>
            <w:vAlign w:val="center"/>
          </w:tcPr>
          <w:p w14:paraId="487F29F1">
            <w:pPr>
              <w:rPr>
                <w:rFonts w:ascii="宋体" w:hAnsi="宋体" w:cs="宋体"/>
              </w:rPr>
            </w:pPr>
          </w:p>
        </w:tc>
        <w:tc>
          <w:tcPr>
            <w:tcW w:w="840" w:type="dxa"/>
            <w:vAlign w:val="center"/>
          </w:tcPr>
          <w:p w14:paraId="48266A37">
            <w:pPr>
              <w:rPr>
                <w:rFonts w:ascii="宋体" w:hAnsi="宋体" w:cs="宋体"/>
              </w:rPr>
            </w:pPr>
          </w:p>
        </w:tc>
        <w:tc>
          <w:tcPr>
            <w:tcW w:w="849" w:type="dxa"/>
            <w:vAlign w:val="center"/>
          </w:tcPr>
          <w:p w14:paraId="0F517420">
            <w:pPr>
              <w:rPr>
                <w:rFonts w:ascii="宋体" w:hAnsi="宋体" w:cs="宋体"/>
              </w:rPr>
            </w:pPr>
          </w:p>
        </w:tc>
        <w:tc>
          <w:tcPr>
            <w:tcW w:w="836" w:type="dxa"/>
            <w:vAlign w:val="center"/>
          </w:tcPr>
          <w:p w14:paraId="202F1B4E">
            <w:pPr>
              <w:rPr>
                <w:rFonts w:ascii="宋体" w:hAnsi="宋体" w:cs="宋体"/>
              </w:rPr>
            </w:pPr>
          </w:p>
        </w:tc>
        <w:tc>
          <w:tcPr>
            <w:tcW w:w="836" w:type="dxa"/>
            <w:vAlign w:val="center"/>
          </w:tcPr>
          <w:p w14:paraId="58B4B890">
            <w:pPr>
              <w:rPr>
                <w:rFonts w:ascii="宋体" w:hAnsi="宋体" w:cs="宋体"/>
              </w:rPr>
            </w:pPr>
          </w:p>
        </w:tc>
        <w:tc>
          <w:tcPr>
            <w:tcW w:w="836" w:type="dxa"/>
            <w:vAlign w:val="center"/>
          </w:tcPr>
          <w:p w14:paraId="18A1B1AF">
            <w:pPr>
              <w:rPr>
                <w:rFonts w:ascii="宋体" w:hAnsi="宋体" w:cs="宋体"/>
              </w:rPr>
            </w:pPr>
          </w:p>
        </w:tc>
      </w:tr>
      <w:tr w14:paraId="407F4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67" w:type="dxa"/>
            <w:vAlign w:val="center"/>
          </w:tcPr>
          <w:p w14:paraId="4A80940B">
            <w:pPr>
              <w:rPr>
                <w:rFonts w:ascii="宋体" w:hAnsi="宋体" w:cs="宋体"/>
              </w:rPr>
            </w:pPr>
          </w:p>
        </w:tc>
        <w:tc>
          <w:tcPr>
            <w:tcW w:w="996" w:type="dxa"/>
            <w:vAlign w:val="center"/>
          </w:tcPr>
          <w:p w14:paraId="0714EB1E">
            <w:pPr>
              <w:rPr>
                <w:rFonts w:ascii="宋体" w:hAnsi="宋体" w:cs="宋体"/>
              </w:rPr>
            </w:pPr>
          </w:p>
        </w:tc>
        <w:tc>
          <w:tcPr>
            <w:tcW w:w="683" w:type="dxa"/>
            <w:vAlign w:val="center"/>
          </w:tcPr>
          <w:p w14:paraId="7999121E">
            <w:pPr>
              <w:rPr>
                <w:rFonts w:ascii="宋体" w:hAnsi="宋体" w:cs="宋体"/>
              </w:rPr>
            </w:pPr>
          </w:p>
        </w:tc>
        <w:tc>
          <w:tcPr>
            <w:tcW w:w="839" w:type="dxa"/>
            <w:vAlign w:val="center"/>
          </w:tcPr>
          <w:p w14:paraId="7BADE25E">
            <w:pPr>
              <w:rPr>
                <w:rFonts w:ascii="宋体" w:hAnsi="宋体" w:cs="宋体"/>
              </w:rPr>
            </w:pPr>
          </w:p>
        </w:tc>
        <w:tc>
          <w:tcPr>
            <w:tcW w:w="840" w:type="dxa"/>
            <w:vAlign w:val="center"/>
          </w:tcPr>
          <w:p w14:paraId="1EF89C36">
            <w:pPr>
              <w:rPr>
                <w:rFonts w:ascii="宋体" w:hAnsi="宋体" w:cs="宋体"/>
              </w:rPr>
            </w:pPr>
          </w:p>
        </w:tc>
        <w:tc>
          <w:tcPr>
            <w:tcW w:w="840" w:type="dxa"/>
            <w:vAlign w:val="center"/>
          </w:tcPr>
          <w:p w14:paraId="25F11D1B">
            <w:pPr>
              <w:rPr>
                <w:rFonts w:ascii="宋体" w:hAnsi="宋体" w:cs="宋体"/>
              </w:rPr>
            </w:pPr>
          </w:p>
        </w:tc>
        <w:tc>
          <w:tcPr>
            <w:tcW w:w="849" w:type="dxa"/>
            <w:vAlign w:val="center"/>
          </w:tcPr>
          <w:p w14:paraId="79A7D857">
            <w:pPr>
              <w:rPr>
                <w:rFonts w:ascii="宋体" w:hAnsi="宋体" w:cs="宋体"/>
              </w:rPr>
            </w:pPr>
          </w:p>
        </w:tc>
        <w:tc>
          <w:tcPr>
            <w:tcW w:w="836" w:type="dxa"/>
            <w:vAlign w:val="center"/>
          </w:tcPr>
          <w:p w14:paraId="3EA3A407">
            <w:pPr>
              <w:rPr>
                <w:rFonts w:ascii="宋体" w:hAnsi="宋体" w:cs="宋体"/>
              </w:rPr>
            </w:pPr>
          </w:p>
        </w:tc>
        <w:tc>
          <w:tcPr>
            <w:tcW w:w="836" w:type="dxa"/>
            <w:vAlign w:val="center"/>
          </w:tcPr>
          <w:p w14:paraId="3386DD4B">
            <w:pPr>
              <w:rPr>
                <w:rFonts w:ascii="宋体" w:hAnsi="宋体" w:cs="宋体"/>
              </w:rPr>
            </w:pPr>
          </w:p>
        </w:tc>
        <w:tc>
          <w:tcPr>
            <w:tcW w:w="836" w:type="dxa"/>
            <w:vAlign w:val="center"/>
          </w:tcPr>
          <w:p w14:paraId="29D8F84E">
            <w:pPr>
              <w:rPr>
                <w:rFonts w:ascii="宋体" w:hAnsi="宋体" w:cs="宋体"/>
              </w:rPr>
            </w:pPr>
          </w:p>
        </w:tc>
      </w:tr>
      <w:tr w14:paraId="2D3C7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967" w:type="dxa"/>
            <w:vAlign w:val="center"/>
          </w:tcPr>
          <w:p w14:paraId="74053AF7">
            <w:pPr>
              <w:rPr>
                <w:rFonts w:ascii="宋体" w:hAnsi="宋体" w:cs="宋体"/>
              </w:rPr>
            </w:pPr>
          </w:p>
        </w:tc>
        <w:tc>
          <w:tcPr>
            <w:tcW w:w="996" w:type="dxa"/>
            <w:vAlign w:val="center"/>
          </w:tcPr>
          <w:p w14:paraId="5A8A6B39">
            <w:pPr>
              <w:rPr>
                <w:rFonts w:ascii="宋体" w:hAnsi="宋体" w:cs="宋体"/>
              </w:rPr>
            </w:pPr>
          </w:p>
        </w:tc>
        <w:tc>
          <w:tcPr>
            <w:tcW w:w="683" w:type="dxa"/>
            <w:vAlign w:val="center"/>
          </w:tcPr>
          <w:p w14:paraId="536CABBF">
            <w:pPr>
              <w:rPr>
                <w:rFonts w:ascii="宋体" w:hAnsi="宋体" w:cs="宋体"/>
              </w:rPr>
            </w:pPr>
          </w:p>
        </w:tc>
        <w:tc>
          <w:tcPr>
            <w:tcW w:w="839" w:type="dxa"/>
            <w:vAlign w:val="center"/>
          </w:tcPr>
          <w:p w14:paraId="4D71111A">
            <w:pPr>
              <w:rPr>
                <w:rFonts w:ascii="宋体" w:hAnsi="宋体" w:cs="宋体"/>
              </w:rPr>
            </w:pPr>
          </w:p>
        </w:tc>
        <w:tc>
          <w:tcPr>
            <w:tcW w:w="840" w:type="dxa"/>
            <w:vAlign w:val="center"/>
          </w:tcPr>
          <w:p w14:paraId="6CD4EBA0">
            <w:pPr>
              <w:rPr>
                <w:rFonts w:ascii="宋体" w:hAnsi="宋体" w:cs="宋体"/>
              </w:rPr>
            </w:pPr>
          </w:p>
        </w:tc>
        <w:tc>
          <w:tcPr>
            <w:tcW w:w="840" w:type="dxa"/>
            <w:vAlign w:val="center"/>
          </w:tcPr>
          <w:p w14:paraId="77FC6976">
            <w:pPr>
              <w:rPr>
                <w:rFonts w:ascii="宋体" w:hAnsi="宋体" w:cs="宋体"/>
              </w:rPr>
            </w:pPr>
          </w:p>
        </w:tc>
        <w:tc>
          <w:tcPr>
            <w:tcW w:w="849" w:type="dxa"/>
            <w:vAlign w:val="center"/>
          </w:tcPr>
          <w:p w14:paraId="542DF2D3">
            <w:pPr>
              <w:rPr>
                <w:rFonts w:ascii="宋体" w:hAnsi="宋体" w:cs="宋体"/>
              </w:rPr>
            </w:pPr>
          </w:p>
        </w:tc>
        <w:tc>
          <w:tcPr>
            <w:tcW w:w="836" w:type="dxa"/>
            <w:vAlign w:val="center"/>
          </w:tcPr>
          <w:p w14:paraId="0AB23350">
            <w:pPr>
              <w:rPr>
                <w:rFonts w:ascii="宋体" w:hAnsi="宋体" w:cs="宋体"/>
              </w:rPr>
            </w:pPr>
          </w:p>
        </w:tc>
        <w:tc>
          <w:tcPr>
            <w:tcW w:w="836" w:type="dxa"/>
            <w:vAlign w:val="center"/>
          </w:tcPr>
          <w:p w14:paraId="4C43BC8C">
            <w:pPr>
              <w:rPr>
                <w:rFonts w:ascii="宋体" w:hAnsi="宋体" w:cs="宋体"/>
              </w:rPr>
            </w:pPr>
          </w:p>
        </w:tc>
        <w:tc>
          <w:tcPr>
            <w:tcW w:w="836" w:type="dxa"/>
            <w:vAlign w:val="center"/>
          </w:tcPr>
          <w:p w14:paraId="67A14713">
            <w:pPr>
              <w:rPr>
                <w:rFonts w:ascii="宋体" w:hAnsi="宋体" w:cs="宋体"/>
              </w:rPr>
            </w:pPr>
          </w:p>
        </w:tc>
      </w:tr>
    </w:tbl>
    <w:p w14:paraId="3FF687F5">
      <w:pPr>
        <w:rPr>
          <w:rFonts w:ascii="宋体" w:hAnsi="宋体" w:cs="宋体"/>
        </w:rPr>
      </w:pPr>
      <w:r>
        <w:rPr>
          <w:rFonts w:hint="eastAsia" w:ascii="宋体" w:hAnsi="宋体" w:cs="宋体"/>
          <w:b/>
          <w:bCs/>
          <w:color w:val="C00000"/>
          <w:sz w:val="28"/>
          <w:szCs w:val="28"/>
        </w:rPr>
        <w:t>（备注：此表由供应商填写，作为评标的重要依据。）</w:t>
      </w:r>
    </w:p>
    <w:p w14:paraId="7952CE1B">
      <w:pPr>
        <w:spacing w:line="48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UyNDI3YmY5ZjZhYjI0YzA4YzI0N2E1MGMzYjc2MmIifQ=="/>
  </w:docVars>
  <w:rsids>
    <w:rsidRoot w:val="78887C68"/>
    <w:rsid w:val="00031938"/>
    <w:rsid w:val="006B5DEA"/>
    <w:rsid w:val="00C501FE"/>
    <w:rsid w:val="08D10EF9"/>
    <w:rsid w:val="0FE0190A"/>
    <w:rsid w:val="120A4D9B"/>
    <w:rsid w:val="13F40F3C"/>
    <w:rsid w:val="17686FCF"/>
    <w:rsid w:val="181A3A94"/>
    <w:rsid w:val="1840731C"/>
    <w:rsid w:val="20311707"/>
    <w:rsid w:val="282F52D3"/>
    <w:rsid w:val="2EBF1406"/>
    <w:rsid w:val="30411854"/>
    <w:rsid w:val="3CF469EB"/>
    <w:rsid w:val="4246427A"/>
    <w:rsid w:val="4C0E4FC1"/>
    <w:rsid w:val="539F1B70"/>
    <w:rsid w:val="5E2A4BBD"/>
    <w:rsid w:val="67923560"/>
    <w:rsid w:val="69F0140A"/>
    <w:rsid w:val="70DE0049"/>
    <w:rsid w:val="76222166"/>
    <w:rsid w:val="76266E4A"/>
    <w:rsid w:val="78887C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15"/>
      <w:szCs w:val="15"/>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99"/>
    <w:pPr>
      <w:jc w:val="left"/>
    </w:pPr>
    <w:rPr>
      <w:rFonts w:ascii="Courier New" w:hAnsi="Courier New" w:cs="Courier New"/>
      <w:sz w:val="20"/>
      <w:szCs w:val="20"/>
    </w:rPr>
  </w:style>
  <w:style w:type="paragraph" w:styleId="3">
    <w:name w:val="footer"/>
    <w:basedOn w:val="1"/>
    <w:link w:val="9"/>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uiPriority w:val="0"/>
    <w:rPr>
      <w:rFonts w:ascii="Times New Roman" w:hAnsi="Times New Roman" w:eastAsia="宋体" w:cs="Times New Roman"/>
      <w:kern w:val="2"/>
      <w:sz w:val="18"/>
      <w:szCs w:val="18"/>
    </w:rPr>
  </w:style>
  <w:style w:type="character" w:customStyle="1" w:styleId="9">
    <w:name w:val="页脚 Char"/>
    <w:basedOn w:val="7"/>
    <w:link w:val="3"/>
    <w:qFormat/>
    <w:uiPriority w:val="0"/>
    <w:rPr>
      <w:rFonts w:ascii="Times New Roman" w:hAnsi="Times New Roman" w:eastAsia="宋体" w:cs="Times New Roman"/>
      <w:kern w:val="2"/>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1951</Words>
  <Characters>2121</Characters>
  <Lines>7</Lines>
  <Paragraphs>2</Paragraphs>
  <TotalTime>2</TotalTime>
  <ScaleCrop>false</ScaleCrop>
  <LinksUpToDate>false</LinksUpToDate>
  <CharactersWithSpaces>2192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2023-02-28T14:58:00Z</dcterms:created>
  <dc:creator>张军</dc:creator>
  <cp:lastModifiedBy>蔡永宇</cp:lastModifiedBy>
  <dcterms:modified xsi:type="dcterms:W3CDTF">2026-08-23T01:25:26Z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6668BED0071C438BBCE920AEC2911E36</vt:lpwstr>
  </property>
  <property fmtid="{D5CDD505-2E9C-101B-9397-08002B2CF9AE}" pid="4" name="KSOTemplateDocerSaveRecord">
    <vt:lpwstr>eyJoZGlkIjoiNzBjNGQ2NGEyMzliZTgzMjdiNDZkZWRiMDY5Yzk1ZTMiLCJ1c2VySWQiOiIxODA1NTk2NjIyIn0=</vt:lpwstr>
  </property>
</Properties>
</file>