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5DAB5A">
      <w:pPr>
        <w:jc w:val="center"/>
        <w:rPr>
          <w:rFonts w:hint="eastAsia" w:ascii="宋体" w:hAnsi="宋体"/>
          <w:b/>
          <w:sz w:val="28"/>
          <w:szCs w:val="28"/>
        </w:rPr>
      </w:pPr>
    </w:p>
    <w:p w14:paraId="1C1D2AC6">
      <w:pPr>
        <w:jc w:val="center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申购仪器设备的技术参数及配置要求</w:t>
      </w:r>
    </w:p>
    <w:tbl>
      <w:tblPr>
        <w:tblStyle w:val="5"/>
        <w:tblW w:w="91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7020"/>
      </w:tblGrid>
      <w:tr w14:paraId="5F0A29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979BF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2C332C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项参数说明</w:t>
            </w:r>
          </w:p>
        </w:tc>
      </w:tr>
      <w:tr w14:paraId="152F75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3A8AF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申购设备名称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7D67E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TCT全自动染色机</w:t>
            </w:r>
          </w:p>
        </w:tc>
      </w:tr>
      <w:tr w14:paraId="191E94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C66A0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用途及适用人群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32E48D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一、主要用途</w:t>
            </w:r>
          </w:p>
          <w:p w14:paraId="568B72D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1.宫颈癌筛查</w:t>
            </w:r>
          </w:p>
          <w:p w14:paraId="7D64718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早期发现癌前病变：检测宫颈上皮内瘤变（CIN）和HPV感染，预防宫颈癌。</w:t>
            </w:r>
          </w:p>
          <w:p w14:paraId="573FCF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与传统涂片相比的优势：</w:t>
            </w:r>
          </w:p>
          <w:p w14:paraId="7F8799C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减少血液、黏液干扰，提高样本质量。</w:t>
            </w:r>
          </w:p>
          <w:p w14:paraId="64E1033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细胞分布更均匀，漏诊率更低。</w:t>
            </w:r>
          </w:p>
          <w:p w14:paraId="02B7933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2.其他部位应用</w:t>
            </w:r>
          </w:p>
          <w:p w14:paraId="780C5AC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泌尿系统：检测膀胱癌、尿路上皮病变。</w:t>
            </w:r>
          </w:p>
          <w:p w14:paraId="117F08A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呼吸道：痰液或支气管刷检标本的肺癌筛查。</w:t>
            </w:r>
          </w:p>
          <w:p w14:paraId="7689C5B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体腔积液：胸腹水中的癌细胞检测。</w:t>
            </w:r>
          </w:p>
          <w:p w14:paraId="6C34991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二、适用人群</w:t>
            </w:r>
          </w:p>
          <w:p w14:paraId="306669F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1. 宫颈癌筛查推荐人群</w:t>
            </w:r>
          </w:p>
          <w:p w14:paraId="4B3BE4D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女性21岁以上：建议开始定期筛查（具体频率依指南和风险而定）。</w:t>
            </w:r>
          </w:p>
          <w:p w14:paraId="00820E4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HPV阳性患者：液基细胞学联合HPV检测（如TCT+HPV联合筛查）。</w:t>
            </w:r>
          </w:p>
          <w:p w14:paraId="302EB64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有异常症状者：如性交后出血、不规则阴道出血、慢性宫颈炎等。</w:t>
            </w:r>
          </w:p>
          <w:p w14:paraId="5E51BE5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高危人群：</w:t>
            </w:r>
          </w:p>
          <w:p w14:paraId="69D345E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多个性伴侣或性伴侣高危HPV感染。</w:t>
            </w:r>
          </w:p>
          <w:p w14:paraId="14BD4D1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吸烟、免疫力低下（如HIV感染者）。</w:t>
            </w:r>
          </w:p>
          <w:p w14:paraId="3C31E74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长期口服避孕药或雌激素治疗者。</w:t>
            </w:r>
          </w:p>
          <w:p w14:paraId="40145C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2. 其他适用情况</w:t>
            </w:r>
          </w:p>
          <w:p w14:paraId="48FD799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疑似泌尿或呼吸系统肿瘤：如无痛血尿、长期咳血等。</w:t>
            </w:r>
          </w:p>
          <w:p w14:paraId="469F988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体腔积液待查患者：排除恶性积液。</w:t>
            </w:r>
          </w:p>
        </w:tc>
      </w:tr>
      <w:tr w14:paraId="2E4F48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05C4A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设备的功能要求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6783EA6">
            <w:pPr>
              <w:widowControl/>
              <w:ind w:left="680"/>
              <w:jc w:val="left"/>
              <w:rPr>
                <w:rFonts w:ascii="宋体" w:hAnsi="宋体"/>
                <w:sz w:val="24"/>
                <w:szCs w:val="24"/>
              </w:rPr>
            </w:pPr>
          </w:p>
          <w:p w14:paraId="38CE1E10">
            <w:pPr>
              <w:widowControl/>
              <w:ind w:left="680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1、采用中文按键式操作平台，设备操作简便、人性化；</w:t>
            </w:r>
          </w:p>
          <w:p w14:paraId="4A0EA9DF">
            <w:pPr>
              <w:widowControl/>
              <w:ind w:left="680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</w:t>
            </w:r>
            <w:r>
              <w:rPr>
                <w:rFonts w:ascii="宋体" w:hAnsi="宋体"/>
                <w:sz w:val="24"/>
                <w:szCs w:val="24"/>
              </w:rPr>
              <w:t>、</w:t>
            </w:r>
            <w:r>
              <w:rPr>
                <w:rFonts w:hint="eastAsia" w:ascii="宋体" w:hAnsi="宋体"/>
                <w:sz w:val="24"/>
                <w:szCs w:val="24"/>
              </w:rPr>
              <w:t>设备可靠，运行稳定</w:t>
            </w:r>
            <w:r>
              <w:rPr>
                <w:rFonts w:ascii="宋体" w:hAnsi="宋体"/>
                <w:sz w:val="24"/>
                <w:szCs w:val="24"/>
              </w:rPr>
              <w:t>；</w:t>
            </w:r>
          </w:p>
          <w:p w14:paraId="39B57934">
            <w:pPr>
              <w:widowControl/>
              <w:ind w:left="680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</w:t>
            </w:r>
            <w:r>
              <w:rPr>
                <w:rFonts w:ascii="宋体" w:hAnsi="宋体"/>
                <w:sz w:val="24"/>
                <w:szCs w:val="24"/>
              </w:rPr>
              <w:t>、自动加样，可精确转移各位点标本至相应位置，每次可处理</w:t>
            </w:r>
            <w:r>
              <w:rPr>
                <w:rFonts w:hint="eastAsia" w:ascii="宋体" w:hAnsi="宋体"/>
                <w:sz w:val="24"/>
                <w:szCs w:val="24"/>
              </w:rPr>
              <w:t>多</w:t>
            </w:r>
            <w:r>
              <w:rPr>
                <w:rFonts w:ascii="宋体" w:hAnsi="宋体"/>
                <w:sz w:val="24"/>
                <w:szCs w:val="24"/>
              </w:rPr>
              <w:t>份样本；</w:t>
            </w:r>
          </w:p>
          <w:p w14:paraId="64466570">
            <w:pPr>
              <w:widowControl/>
              <w:ind w:left="680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</w:t>
            </w:r>
            <w:r>
              <w:rPr>
                <w:rFonts w:ascii="宋体" w:hAnsi="宋体"/>
                <w:sz w:val="24"/>
                <w:szCs w:val="24"/>
              </w:rPr>
              <w:t xml:space="preserve">、自动独立染色，染液一次性使用，避免标本交叉污染，保证制片的一致性，无批间差； </w:t>
            </w:r>
          </w:p>
          <w:p w14:paraId="58C315FA">
            <w:pPr>
              <w:widowControl/>
              <w:ind w:left="680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</w:t>
            </w:r>
            <w:r>
              <w:rPr>
                <w:rFonts w:ascii="宋体" w:hAnsi="宋体"/>
                <w:sz w:val="24"/>
                <w:szCs w:val="24"/>
              </w:rPr>
              <w:t>、沉降式制片，自动染色连续化，批量化和标准化</w:t>
            </w:r>
            <w:r>
              <w:rPr>
                <w:rFonts w:hint="eastAsia" w:ascii="宋体" w:hAnsi="宋体"/>
                <w:sz w:val="24"/>
                <w:szCs w:val="24"/>
              </w:rPr>
              <w:t>，染色</w:t>
            </w:r>
            <w:r>
              <w:rPr>
                <w:rFonts w:ascii="宋体" w:hAnsi="宋体"/>
                <w:sz w:val="24"/>
                <w:szCs w:val="24"/>
              </w:rPr>
              <w:t>时间小于30分钟；</w:t>
            </w:r>
          </w:p>
          <w:p w14:paraId="4345F0E0">
            <w:pPr>
              <w:widowControl/>
              <w:ind w:left="680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6</w:t>
            </w:r>
            <w:r>
              <w:rPr>
                <w:rFonts w:ascii="宋体" w:hAnsi="宋体"/>
                <w:sz w:val="24"/>
                <w:szCs w:val="24"/>
              </w:rPr>
              <w:t>、具备缺液报警功能，自动检测试剂量，有效避免人为错误；</w:t>
            </w:r>
          </w:p>
          <w:p w14:paraId="59489B7A">
            <w:pPr>
              <w:widowControl/>
              <w:ind w:left="680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7</w:t>
            </w:r>
            <w:r>
              <w:rPr>
                <w:rFonts w:ascii="宋体" w:hAnsi="宋体"/>
                <w:sz w:val="24"/>
                <w:szCs w:val="24"/>
              </w:rPr>
              <w:t>、中文报告系统，具备多机联网功能，可打印病历登记本等相关报表；</w:t>
            </w:r>
          </w:p>
          <w:p w14:paraId="7284B1D8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</w:p>
          <w:p w14:paraId="7F1B1E32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  <w:tr w14:paraId="45D9B0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4808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功能的技术指标及其他技术参数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C861713">
            <w:pPr>
              <w:rPr>
                <w:rFonts w:ascii="宋体" w:hAnsi="宋体"/>
                <w:sz w:val="24"/>
                <w:szCs w:val="24"/>
              </w:rPr>
            </w:pPr>
          </w:p>
          <w:p w14:paraId="447CD8AC">
            <w:pPr>
              <w:rPr>
                <w:rFonts w:ascii="宋体" w:hAnsi="宋体"/>
                <w:sz w:val="24"/>
                <w:szCs w:val="24"/>
              </w:rPr>
            </w:pPr>
          </w:p>
          <w:p w14:paraId="2E3DD3ED">
            <w:pPr>
              <w:rPr>
                <w:rFonts w:ascii="宋体" w:hAnsi="宋体"/>
                <w:sz w:val="24"/>
                <w:szCs w:val="24"/>
              </w:rPr>
            </w:pPr>
          </w:p>
          <w:p w14:paraId="35BF7B11">
            <w:pPr>
              <w:rPr>
                <w:rFonts w:ascii="宋体" w:hAnsi="宋体"/>
                <w:sz w:val="24"/>
                <w:szCs w:val="24"/>
              </w:rPr>
            </w:pPr>
          </w:p>
          <w:p w14:paraId="048999BE">
            <w:pPr>
              <w:widowControl/>
              <w:ind w:left="680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无。</w:t>
            </w:r>
          </w:p>
          <w:p w14:paraId="52359B5E">
            <w:pPr>
              <w:rPr>
                <w:rFonts w:ascii="宋体" w:hAnsi="宋体"/>
                <w:sz w:val="24"/>
                <w:szCs w:val="24"/>
              </w:rPr>
            </w:pPr>
          </w:p>
          <w:p w14:paraId="79B49D0F">
            <w:pPr>
              <w:rPr>
                <w:rFonts w:ascii="宋体" w:hAnsi="宋体"/>
                <w:sz w:val="24"/>
                <w:szCs w:val="24"/>
              </w:rPr>
            </w:pPr>
          </w:p>
          <w:p w14:paraId="36C5675D">
            <w:pPr>
              <w:rPr>
                <w:rFonts w:ascii="宋体" w:hAnsi="宋体"/>
                <w:sz w:val="24"/>
                <w:szCs w:val="24"/>
              </w:rPr>
            </w:pPr>
          </w:p>
          <w:p w14:paraId="662D7F92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14:paraId="2C71EF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C51BF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软、硬件的</w:t>
            </w:r>
          </w:p>
          <w:p w14:paraId="0E9FF40F">
            <w:pPr>
              <w:ind w:firstLine="360" w:firstLineChars="1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配置要求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6CCF67B">
            <w:pPr>
              <w:rPr>
                <w:sz w:val="24"/>
              </w:rPr>
            </w:pPr>
          </w:p>
          <w:p w14:paraId="4C48A420">
            <w:pPr>
              <w:rPr>
                <w:sz w:val="24"/>
              </w:rPr>
            </w:pPr>
          </w:p>
          <w:p w14:paraId="6622A713">
            <w:pPr>
              <w:rPr>
                <w:sz w:val="24"/>
              </w:rPr>
            </w:pPr>
          </w:p>
          <w:p w14:paraId="367C88A8">
            <w:pPr>
              <w:rPr>
                <w:sz w:val="24"/>
              </w:rPr>
            </w:pPr>
          </w:p>
          <w:p w14:paraId="5EBEFD4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无。</w:t>
            </w:r>
          </w:p>
          <w:p w14:paraId="6DECD970">
            <w:pPr>
              <w:rPr>
                <w:sz w:val="24"/>
              </w:rPr>
            </w:pPr>
          </w:p>
          <w:p w14:paraId="2C414E71">
            <w:pPr>
              <w:rPr>
                <w:sz w:val="24"/>
              </w:rPr>
            </w:pPr>
          </w:p>
          <w:p w14:paraId="527D9BB9">
            <w:pPr>
              <w:rPr>
                <w:sz w:val="24"/>
              </w:rPr>
            </w:pPr>
          </w:p>
          <w:p w14:paraId="6D1BECEE">
            <w:pPr>
              <w:rPr>
                <w:sz w:val="24"/>
              </w:rPr>
            </w:pPr>
          </w:p>
        </w:tc>
      </w:tr>
      <w:tr w14:paraId="4D19C2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CD018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其它要求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9D10F5E">
            <w:pPr>
              <w:spacing w:line="12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1.设备使用期</w:t>
            </w:r>
            <w:r>
              <w:rPr>
                <w:rFonts w:ascii="Arial" w:hAnsi="Arial" w:cs="Arial"/>
                <w:sz w:val="24"/>
                <w:szCs w:val="24"/>
              </w:rPr>
              <w:t>≥</w:t>
            </w:r>
            <w:r>
              <w:rPr>
                <w:rFonts w:hint="eastAsia" w:ascii="Arial" w:hAnsi="Arial" w:cs="Arial"/>
                <w:sz w:val="24"/>
                <w:szCs w:val="24"/>
              </w:rPr>
              <w:t>6</w:t>
            </w:r>
            <w:r>
              <w:rPr>
                <w:rFonts w:hint="eastAsia" w:ascii="宋体" w:hAnsi="宋体"/>
                <w:sz w:val="24"/>
                <w:szCs w:val="24"/>
              </w:rPr>
              <w:t>年，设备的生产日期和合同签订的时间间隔不大于6个月。</w:t>
            </w:r>
          </w:p>
          <w:p w14:paraId="22E8FD6F">
            <w:pPr>
              <w:spacing w:line="12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</w:t>
            </w:r>
            <w:bookmarkStart w:id="0" w:name="OLE_LINK5"/>
            <w:bookmarkStart w:id="1" w:name="OLE_LINK2"/>
            <w:bookmarkStart w:id="2" w:name="OLE_LINK4"/>
            <w:bookmarkStart w:id="3" w:name="OLE_LINK3"/>
            <w:r>
              <w:rPr>
                <w:rFonts w:hint="eastAsia" w:ascii="宋体" w:hAnsi="宋体"/>
                <w:sz w:val="24"/>
                <w:szCs w:val="24"/>
              </w:rPr>
              <w:t>整机免费质保</w:t>
            </w:r>
            <w:r>
              <w:rPr>
                <w:rFonts w:ascii="Arial" w:hAnsi="Arial" w:cs="Arial"/>
                <w:sz w:val="24"/>
                <w:szCs w:val="24"/>
              </w:rPr>
              <w:t>≥</w:t>
            </w:r>
            <w:r>
              <w:rPr>
                <w:rFonts w:hint="eastAsia" w:ascii="宋体" w:hAnsi="宋体"/>
                <w:sz w:val="24"/>
                <w:szCs w:val="24"/>
              </w:rPr>
              <w:t>3年；设备设计使用的耗材必须为开放的耗材，并提供阳光网能点配价格，验收时提供三个以上厂家的耗材使用进行验收。</w:t>
            </w:r>
          </w:p>
          <w:p w14:paraId="0D0BD578">
            <w:pPr>
              <w:spacing w:line="12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3.验收同时提供纸质版和电子版产品说明书。</w:t>
            </w:r>
            <w:bookmarkEnd w:id="0"/>
            <w:bookmarkEnd w:id="1"/>
            <w:bookmarkEnd w:id="2"/>
            <w:bookmarkEnd w:id="3"/>
            <w:r>
              <w:rPr>
                <w:rFonts w:hint="eastAsia" w:ascii="宋体" w:hAnsi="宋体"/>
                <w:sz w:val="24"/>
                <w:szCs w:val="24"/>
              </w:rPr>
              <w:t>供货时应同时附上中文使用说明书（包括纸质版和电子版）。</w:t>
            </w:r>
          </w:p>
          <w:p w14:paraId="50B66A83">
            <w:pPr>
              <w:spacing w:line="12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</w:t>
            </w:r>
            <w:bookmarkStart w:id="4" w:name="OLE_LINK7"/>
            <w:bookmarkStart w:id="5" w:name="OLE_LINK6"/>
            <w:r>
              <w:rPr>
                <w:rFonts w:hint="eastAsia" w:ascii="宋体" w:hAnsi="宋体"/>
                <w:sz w:val="24"/>
                <w:szCs w:val="24"/>
              </w:rPr>
              <w:t>为确保设备的售后服务质量，乙方必须提供其厂家免费质保三年的售后服务承诺书，包括设备厂家提供产品的终身免费升级服务。</w:t>
            </w:r>
            <w:bookmarkEnd w:id="4"/>
            <w:bookmarkEnd w:id="5"/>
          </w:p>
          <w:p w14:paraId="64BDE549">
            <w:pPr>
              <w:jc w:val="left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5.设备数据涉及接入我院HIS网络的，验收时按我院要求能查询到HIS网络数据，产生的费用全部由中标方承担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。</w:t>
            </w:r>
          </w:p>
          <w:p w14:paraId="0767AADA">
            <w:pPr>
              <w:spacing w:line="400" w:lineRule="exact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6．在广西省内设有办事处，配备售后服务工程师，定期巡检培训；</w:t>
            </w:r>
          </w:p>
          <w:p w14:paraId="79EB0732">
            <w:pPr>
              <w:spacing w:line="400" w:lineRule="exact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7．产品零配件国内供应及时；设备主机保修</w:t>
            </w:r>
            <w:r>
              <w:rPr>
                <w:rFonts w:ascii="宋体" w:hAnsi="宋体"/>
                <w:sz w:val="24"/>
                <w:szCs w:val="24"/>
              </w:rPr>
              <w:t>3</w:t>
            </w:r>
            <w:r>
              <w:rPr>
                <w:rFonts w:hint="eastAsia" w:ascii="宋体" w:hAnsi="宋体"/>
                <w:sz w:val="24"/>
                <w:szCs w:val="24"/>
              </w:rPr>
              <w:t>年；终身维护；</w:t>
            </w:r>
          </w:p>
          <w:p w14:paraId="268B004E">
            <w:pPr>
              <w:jc w:val="left"/>
              <w:rPr>
                <w:sz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8．维修响应时间：2小时响应，48小时未解决问题提供备用机使用。</w:t>
            </w:r>
          </w:p>
          <w:p w14:paraId="176E4EBB">
            <w:pPr>
              <w:jc w:val="center"/>
              <w:rPr>
                <w:sz w:val="24"/>
              </w:rPr>
            </w:pPr>
          </w:p>
        </w:tc>
      </w:tr>
    </w:tbl>
    <w:p w14:paraId="5F927B75"/>
    <w:p w14:paraId="7B52A487">
      <w:pPr>
        <w:pStyle w:val="2"/>
        <w:rPr>
          <w:rFonts w:hint="eastAsia" w:ascii="Times New Roman" w:hAnsi="Times New Roman" w:cs="Times New Roman"/>
          <w:sz w:val="28"/>
          <w:szCs w:val="28"/>
        </w:rPr>
      </w:pPr>
    </w:p>
    <w:p w14:paraId="4F0D5063">
      <w:pPr>
        <w:pStyle w:val="2"/>
        <w:rPr>
          <w:rFonts w:hint="eastAsia" w:ascii="Times New Roman" w:hAnsi="Times New Roman" w:cs="Times New Roman"/>
          <w:sz w:val="28"/>
          <w:szCs w:val="28"/>
        </w:rPr>
      </w:pPr>
    </w:p>
    <w:p w14:paraId="7A6E35FE">
      <w:pPr>
        <w:pStyle w:val="2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三、配件</w:t>
      </w:r>
    </w:p>
    <w:p w14:paraId="449E5260">
      <w:pPr>
        <w:pStyle w:val="2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设备出保修期后配件的价格：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"/>
        <w:gridCol w:w="2521"/>
        <w:gridCol w:w="1704"/>
        <w:gridCol w:w="1704"/>
        <w:gridCol w:w="1704"/>
      </w:tblGrid>
      <w:tr w14:paraId="403203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 w14:paraId="290FAD53">
            <w:pPr>
              <w:pStyle w:val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序号</w:t>
            </w:r>
          </w:p>
        </w:tc>
        <w:tc>
          <w:tcPr>
            <w:tcW w:w="2521" w:type="dxa"/>
            <w:vAlign w:val="center"/>
          </w:tcPr>
          <w:p w14:paraId="3779DDD5">
            <w:pPr>
              <w:pStyle w:val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配件名称</w:t>
            </w:r>
          </w:p>
        </w:tc>
        <w:tc>
          <w:tcPr>
            <w:tcW w:w="1704" w:type="dxa"/>
            <w:vAlign w:val="center"/>
          </w:tcPr>
          <w:p w14:paraId="0295EC34">
            <w:pPr>
              <w:pStyle w:val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更换频率（次/年）</w:t>
            </w:r>
          </w:p>
        </w:tc>
        <w:tc>
          <w:tcPr>
            <w:tcW w:w="1704" w:type="dxa"/>
            <w:vAlign w:val="center"/>
          </w:tcPr>
          <w:p w14:paraId="2C344D53">
            <w:pPr>
              <w:pStyle w:val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配件价格（元）</w:t>
            </w:r>
          </w:p>
        </w:tc>
        <w:tc>
          <w:tcPr>
            <w:tcW w:w="1704" w:type="dxa"/>
            <w:vAlign w:val="center"/>
          </w:tcPr>
          <w:p w14:paraId="6391FA6B">
            <w:pPr>
              <w:pStyle w:val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年合计费用（元）</w:t>
            </w:r>
          </w:p>
        </w:tc>
      </w:tr>
      <w:tr w14:paraId="54C16E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298BAB09">
            <w:pPr>
              <w:pStyle w:val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21" w:type="dxa"/>
          </w:tcPr>
          <w:p w14:paraId="522A0A30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14:paraId="442FA534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14:paraId="1C1DC4D4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14:paraId="64823849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1CBBB1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2E502E1C">
            <w:pPr>
              <w:pStyle w:val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21" w:type="dxa"/>
          </w:tcPr>
          <w:p w14:paraId="77E523AD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14:paraId="18180205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14:paraId="3B0AA591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14:paraId="67B10BDC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69C8A5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77C566C5">
            <w:pPr>
              <w:pStyle w:val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21" w:type="dxa"/>
          </w:tcPr>
          <w:p w14:paraId="4BB382E6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14:paraId="474E5F0D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14:paraId="198F8300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14:paraId="41D990D3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0B972B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6B91AE24">
            <w:pPr>
              <w:pStyle w:val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21" w:type="dxa"/>
          </w:tcPr>
          <w:p w14:paraId="6BD1324C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14:paraId="1929C06C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14:paraId="02E02F0E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14:paraId="3B0A7B1F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5E02C1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196A7557">
            <w:pPr>
              <w:pStyle w:val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微软雅黑" w:hAnsi="微软雅黑" w:eastAsia="微软雅黑" w:cs="微软雅黑"/>
                <w:sz w:val="28"/>
                <w:szCs w:val="28"/>
              </w:rPr>
              <w:t>……</w:t>
            </w:r>
          </w:p>
        </w:tc>
        <w:tc>
          <w:tcPr>
            <w:tcW w:w="2521" w:type="dxa"/>
          </w:tcPr>
          <w:p w14:paraId="2A86CFCE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14:paraId="31FF54F4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14:paraId="5CAF2FAA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14:paraId="2808771B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4B13D4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65093E19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合计</w:t>
            </w:r>
          </w:p>
        </w:tc>
        <w:tc>
          <w:tcPr>
            <w:tcW w:w="2521" w:type="dxa"/>
          </w:tcPr>
          <w:p w14:paraId="47C213F0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14:paraId="1A3E77DB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14:paraId="4AE2E1A6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14:paraId="67155620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E47F531">
      <w:pPr>
        <w:rPr>
          <w:b/>
          <w:bCs/>
          <w:color w:val="C00000"/>
          <w:sz w:val="28"/>
          <w:szCs w:val="28"/>
        </w:rPr>
      </w:pPr>
      <w:r>
        <w:rPr>
          <w:rFonts w:hint="eastAsia" w:ascii="宋体" w:hAnsi="宋体" w:cs="宋体"/>
          <w:b/>
          <w:bCs/>
          <w:color w:val="C00000"/>
          <w:sz w:val="28"/>
          <w:szCs w:val="28"/>
        </w:rPr>
        <w:t>（备注：此表由供应商填写，作为评标的重要依据。）</w:t>
      </w:r>
    </w:p>
    <w:p w14:paraId="44E8D8BC">
      <w:pPr>
        <w:pStyle w:val="2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四、设备和耗材、检验试剂的关系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7"/>
        <w:gridCol w:w="996"/>
        <w:gridCol w:w="683"/>
        <w:gridCol w:w="839"/>
        <w:gridCol w:w="840"/>
        <w:gridCol w:w="840"/>
        <w:gridCol w:w="849"/>
        <w:gridCol w:w="836"/>
        <w:gridCol w:w="836"/>
        <w:gridCol w:w="836"/>
      </w:tblGrid>
      <w:tr w14:paraId="38D44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8" w:hRule="atLeast"/>
        </w:trPr>
        <w:tc>
          <w:tcPr>
            <w:tcW w:w="967" w:type="dxa"/>
            <w:vAlign w:val="center"/>
          </w:tcPr>
          <w:p w14:paraId="55846A5E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设备名称</w:t>
            </w:r>
          </w:p>
        </w:tc>
        <w:tc>
          <w:tcPr>
            <w:tcW w:w="996" w:type="dxa"/>
            <w:vAlign w:val="center"/>
          </w:tcPr>
          <w:p w14:paraId="012A8B93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设备单价（元）</w:t>
            </w:r>
          </w:p>
        </w:tc>
        <w:tc>
          <w:tcPr>
            <w:tcW w:w="683" w:type="dxa"/>
            <w:vAlign w:val="center"/>
          </w:tcPr>
          <w:p w14:paraId="1BA90805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国产/进口</w:t>
            </w:r>
          </w:p>
        </w:tc>
        <w:tc>
          <w:tcPr>
            <w:tcW w:w="839" w:type="dxa"/>
            <w:vAlign w:val="center"/>
          </w:tcPr>
          <w:p w14:paraId="5F6977BB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是否专机专用耗材</w:t>
            </w:r>
          </w:p>
        </w:tc>
        <w:tc>
          <w:tcPr>
            <w:tcW w:w="840" w:type="dxa"/>
            <w:vAlign w:val="center"/>
          </w:tcPr>
          <w:p w14:paraId="4D77E980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耗材品牌</w:t>
            </w:r>
          </w:p>
        </w:tc>
        <w:tc>
          <w:tcPr>
            <w:tcW w:w="840" w:type="dxa"/>
            <w:vAlign w:val="center"/>
          </w:tcPr>
          <w:p w14:paraId="4AD52D3A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耗材名称</w:t>
            </w:r>
          </w:p>
        </w:tc>
        <w:tc>
          <w:tcPr>
            <w:tcW w:w="849" w:type="dxa"/>
            <w:vAlign w:val="center"/>
          </w:tcPr>
          <w:p w14:paraId="53DE1384">
            <w:pPr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集采/阳光网</w:t>
            </w:r>
          </w:p>
        </w:tc>
        <w:tc>
          <w:tcPr>
            <w:tcW w:w="836" w:type="dxa"/>
            <w:vAlign w:val="center"/>
          </w:tcPr>
          <w:p w14:paraId="54A9A6B7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集采价格</w:t>
            </w:r>
          </w:p>
        </w:tc>
        <w:tc>
          <w:tcPr>
            <w:tcW w:w="836" w:type="dxa"/>
            <w:vAlign w:val="center"/>
          </w:tcPr>
          <w:p w14:paraId="0A46656C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阳光网价格</w:t>
            </w:r>
          </w:p>
        </w:tc>
        <w:tc>
          <w:tcPr>
            <w:tcW w:w="836" w:type="dxa"/>
            <w:vAlign w:val="center"/>
          </w:tcPr>
          <w:p w14:paraId="3CFD3F56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阳光网成交价格</w:t>
            </w:r>
          </w:p>
        </w:tc>
      </w:tr>
      <w:tr w14:paraId="24578D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67" w:type="dxa"/>
            <w:vAlign w:val="center"/>
          </w:tcPr>
          <w:p w14:paraId="604A2DF8">
            <w:pPr>
              <w:rPr>
                <w:rFonts w:ascii="宋体" w:hAnsi="宋体" w:cs="宋体"/>
              </w:rPr>
            </w:pPr>
          </w:p>
        </w:tc>
        <w:tc>
          <w:tcPr>
            <w:tcW w:w="996" w:type="dxa"/>
            <w:vAlign w:val="center"/>
          </w:tcPr>
          <w:p w14:paraId="2876D228">
            <w:pPr>
              <w:rPr>
                <w:rFonts w:ascii="宋体" w:hAnsi="宋体" w:cs="宋体"/>
              </w:rPr>
            </w:pPr>
          </w:p>
        </w:tc>
        <w:tc>
          <w:tcPr>
            <w:tcW w:w="683" w:type="dxa"/>
            <w:vAlign w:val="center"/>
          </w:tcPr>
          <w:p w14:paraId="147F7FEF">
            <w:pPr>
              <w:rPr>
                <w:rFonts w:ascii="宋体" w:hAnsi="宋体" w:cs="宋体"/>
              </w:rPr>
            </w:pPr>
          </w:p>
        </w:tc>
        <w:tc>
          <w:tcPr>
            <w:tcW w:w="839" w:type="dxa"/>
            <w:vAlign w:val="center"/>
          </w:tcPr>
          <w:p w14:paraId="339C0268">
            <w:pPr>
              <w:rPr>
                <w:rFonts w:ascii="宋体" w:hAnsi="宋体" w:cs="宋体"/>
              </w:rPr>
            </w:pPr>
          </w:p>
        </w:tc>
        <w:tc>
          <w:tcPr>
            <w:tcW w:w="840" w:type="dxa"/>
            <w:vAlign w:val="center"/>
          </w:tcPr>
          <w:p w14:paraId="487F29F1">
            <w:pPr>
              <w:rPr>
                <w:rFonts w:ascii="宋体" w:hAnsi="宋体" w:cs="宋体"/>
              </w:rPr>
            </w:pPr>
          </w:p>
        </w:tc>
        <w:tc>
          <w:tcPr>
            <w:tcW w:w="840" w:type="dxa"/>
            <w:vAlign w:val="center"/>
          </w:tcPr>
          <w:p w14:paraId="48266A37">
            <w:pPr>
              <w:rPr>
                <w:rFonts w:ascii="宋体" w:hAnsi="宋体" w:cs="宋体"/>
              </w:rPr>
            </w:pPr>
          </w:p>
        </w:tc>
        <w:tc>
          <w:tcPr>
            <w:tcW w:w="849" w:type="dxa"/>
            <w:vAlign w:val="center"/>
          </w:tcPr>
          <w:p w14:paraId="0F517420">
            <w:pPr>
              <w:rPr>
                <w:rFonts w:ascii="宋体" w:hAnsi="宋体" w:cs="宋体"/>
              </w:rPr>
            </w:pPr>
          </w:p>
        </w:tc>
        <w:tc>
          <w:tcPr>
            <w:tcW w:w="836" w:type="dxa"/>
            <w:vAlign w:val="center"/>
          </w:tcPr>
          <w:p w14:paraId="202F1B4E">
            <w:pPr>
              <w:rPr>
                <w:rFonts w:ascii="宋体" w:hAnsi="宋体" w:cs="宋体"/>
              </w:rPr>
            </w:pPr>
          </w:p>
        </w:tc>
        <w:tc>
          <w:tcPr>
            <w:tcW w:w="836" w:type="dxa"/>
            <w:vAlign w:val="center"/>
          </w:tcPr>
          <w:p w14:paraId="58B4B890">
            <w:pPr>
              <w:rPr>
                <w:rFonts w:ascii="宋体" w:hAnsi="宋体" w:cs="宋体"/>
              </w:rPr>
            </w:pPr>
          </w:p>
        </w:tc>
        <w:tc>
          <w:tcPr>
            <w:tcW w:w="836" w:type="dxa"/>
            <w:vAlign w:val="center"/>
          </w:tcPr>
          <w:p w14:paraId="18A1B1AF">
            <w:pPr>
              <w:rPr>
                <w:rFonts w:ascii="宋体" w:hAnsi="宋体" w:cs="宋体"/>
              </w:rPr>
            </w:pPr>
          </w:p>
        </w:tc>
      </w:tr>
      <w:tr w14:paraId="407F4A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67" w:type="dxa"/>
            <w:vAlign w:val="center"/>
          </w:tcPr>
          <w:p w14:paraId="4A80940B">
            <w:pPr>
              <w:rPr>
                <w:rFonts w:ascii="宋体" w:hAnsi="宋体" w:cs="宋体"/>
              </w:rPr>
            </w:pPr>
          </w:p>
        </w:tc>
        <w:tc>
          <w:tcPr>
            <w:tcW w:w="996" w:type="dxa"/>
            <w:vAlign w:val="center"/>
          </w:tcPr>
          <w:p w14:paraId="0714EB1E">
            <w:pPr>
              <w:rPr>
                <w:rFonts w:ascii="宋体" w:hAnsi="宋体" w:cs="宋体"/>
              </w:rPr>
            </w:pPr>
          </w:p>
        </w:tc>
        <w:tc>
          <w:tcPr>
            <w:tcW w:w="683" w:type="dxa"/>
            <w:vAlign w:val="center"/>
          </w:tcPr>
          <w:p w14:paraId="7999121E">
            <w:pPr>
              <w:rPr>
                <w:rFonts w:ascii="宋体" w:hAnsi="宋体" w:cs="宋体"/>
              </w:rPr>
            </w:pPr>
          </w:p>
        </w:tc>
        <w:tc>
          <w:tcPr>
            <w:tcW w:w="839" w:type="dxa"/>
            <w:vAlign w:val="center"/>
          </w:tcPr>
          <w:p w14:paraId="7BADE25E">
            <w:pPr>
              <w:rPr>
                <w:rFonts w:ascii="宋体" w:hAnsi="宋体" w:cs="宋体"/>
              </w:rPr>
            </w:pPr>
          </w:p>
        </w:tc>
        <w:tc>
          <w:tcPr>
            <w:tcW w:w="840" w:type="dxa"/>
            <w:vAlign w:val="center"/>
          </w:tcPr>
          <w:p w14:paraId="1EF89C36">
            <w:pPr>
              <w:rPr>
                <w:rFonts w:ascii="宋体" w:hAnsi="宋体" w:cs="宋体"/>
              </w:rPr>
            </w:pPr>
          </w:p>
        </w:tc>
        <w:tc>
          <w:tcPr>
            <w:tcW w:w="840" w:type="dxa"/>
            <w:vAlign w:val="center"/>
          </w:tcPr>
          <w:p w14:paraId="25F11D1B">
            <w:pPr>
              <w:rPr>
                <w:rFonts w:ascii="宋体" w:hAnsi="宋体" w:cs="宋体"/>
              </w:rPr>
            </w:pPr>
          </w:p>
        </w:tc>
        <w:tc>
          <w:tcPr>
            <w:tcW w:w="849" w:type="dxa"/>
            <w:vAlign w:val="center"/>
          </w:tcPr>
          <w:p w14:paraId="79A7D857">
            <w:pPr>
              <w:rPr>
                <w:rFonts w:ascii="宋体" w:hAnsi="宋体" w:cs="宋体"/>
              </w:rPr>
            </w:pPr>
          </w:p>
        </w:tc>
        <w:tc>
          <w:tcPr>
            <w:tcW w:w="836" w:type="dxa"/>
            <w:vAlign w:val="center"/>
          </w:tcPr>
          <w:p w14:paraId="3EA3A407">
            <w:pPr>
              <w:rPr>
                <w:rFonts w:ascii="宋体" w:hAnsi="宋体" w:cs="宋体"/>
              </w:rPr>
            </w:pPr>
          </w:p>
        </w:tc>
        <w:tc>
          <w:tcPr>
            <w:tcW w:w="836" w:type="dxa"/>
            <w:vAlign w:val="center"/>
          </w:tcPr>
          <w:p w14:paraId="3386DD4B">
            <w:pPr>
              <w:rPr>
                <w:rFonts w:ascii="宋体" w:hAnsi="宋体" w:cs="宋体"/>
              </w:rPr>
            </w:pPr>
          </w:p>
        </w:tc>
        <w:tc>
          <w:tcPr>
            <w:tcW w:w="836" w:type="dxa"/>
            <w:vAlign w:val="center"/>
          </w:tcPr>
          <w:p w14:paraId="29D8F84E">
            <w:pPr>
              <w:rPr>
                <w:rFonts w:ascii="宋体" w:hAnsi="宋体" w:cs="宋体"/>
              </w:rPr>
            </w:pPr>
          </w:p>
        </w:tc>
      </w:tr>
      <w:tr w14:paraId="2D3C79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967" w:type="dxa"/>
            <w:vAlign w:val="center"/>
          </w:tcPr>
          <w:p w14:paraId="74053AF7">
            <w:pPr>
              <w:rPr>
                <w:rFonts w:ascii="宋体" w:hAnsi="宋体" w:cs="宋体"/>
              </w:rPr>
            </w:pPr>
          </w:p>
        </w:tc>
        <w:tc>
          <w:tcPr>
            <w:tcW w:w="996" w:type="dxa"/>
            <w:vAlign w:val="center"/>
          </w:tcPr>
          <w:p w14:paraId="5A8A6B39">
            <w:pPr>
              <w:rPr>
                <w:rFonts w:ascii="宋体" w:hAnsi="宋体" w:cs="宋体"/>
              </w:rPr>
            </w:pPr>
          </w:p>
        </w:tc>
        <w:tc>
          <w:tcPr>
            <w:tcW w:w="683" w:type="dxa"/>
            <w:vAlign w:val="center"/>
          </w:tcPr>
          <w:p w14:paraId="536CABBF">
            <w:pPr>
              <w:rPr>
                <w:rFonts w:ascii="宋体" w:hAnsi="宋体" w:cs="宋体"/>
              </w:rPr>
            </w:pPr>
          </w:p>
        </w:tc>
        <w:tc>
          <w:tcPr>
            <w:tcW w:w="839" w:type="dxa"/>
            <w:vAlign w:val="center"/>
          </w:tcPr>
          <w:p w14:paraId="4D71111A">
            <w:pPr>
              <w:rPr>
                <w:rFonts w:ascii="宋体" w:hAnsi="宋体" w:cs="宋体"/>
              </w:rPr>
            </w:pPr>
          </w:p>
        </w:tc>
        <w:tc>
          <w:tcPr>
            <w:tcW w:w="840" w:type="dxa"/>
            <w:vAlign w:val="center"/>
          </w:tcPr>
          <w:p w14:paraId="6CD4EBA0">
            <w:pPr>
              <w:rPr>
                <w:rFonts w:ascii="宋体" w:hAnsi="宋体" w:cs="宋体"/>
              </w:rPr>
            </w:pPr>
          </w:p>
        </w:tc>
        <w:tc>
          <w:tcPr>
            <w:tcW w:w="840" w:type="dxa"/>
            <w:vAlign w:val="center"/>
          </w:tcPr>
          <w:p w14:paraId="77FC6976">
            <w:pPr>
              <w:rPr>
                <w:rFonts w:ascii="宋体" w:hAnsi="宋体" w:cs="宋体"/>
              </w:rPr>
            </w:pPr>
          </w:p>
        </w:tc>
        <w:tc>
          <w:tcPr>
            <w:tcW w:w="849" w:type="dxa"/>
            <w:vAlign w:val="center"/>
          </w:tcPr>
          <w:p w14:paraId="542DF2D3">
            <w:pPr>
              <w:rPr>
                <w:rFonts w:ascii="宋体" w:hAnsi="宋体" w:cs="宋体"/>
              </w:rPr>
            </w:pPr>
          </w:p>
        </w:tc>
        <w:tc>
          <w:tcPr>
            <w:tcW w:w="836" w:type="dxa"/>
            <w:vAlign w:val="center"/>
          </w:tcPr>
          <w:p w14:paraId="0AB23350">
            <w:pPr>
              <w:rPr>
                <w:rFonts w:ascii="宋体" w:hAnsi="宋体" w:cs="宋体"/>
              </w:rPr>
            </w:pPr>
          </w:p>
        </w:tc>
        <w:tc>
          <w:tcPr>
            <w:tcW w:w="836" w:type="dxa"/>
            <w:vAlign w:val="center"/>
          </w:tcPr>
          <w:p w14:paraId="4C43BC8C">
            <w:pPr>
              <w:rPr>
                <w:rFonts w:ascii="宋体" w:hAnsi="宋体" w:cs="宋体"/>
              </w:rPr>
            </w:pPr>
          </w:p>
        </w:tc>
        <w:tc>
          <w:tcPr>
            <w:tcW w:w="836" w:type="dxa"/>
            <w:vAlign w:val="center"/>
          </w:tcPr>
          <w:p w14:paraId="67A14713">
            <w:pPr>
              <w:rPr>
                <w:rFonts w:ascii="宋体" w:hAnsi="宋体" w:cs="宋体"/>
              </w:rPr>
            </w:pPr>
          </w:p>
        </w:tc>
      </w:tr>
    </w:tbl>
    <w:p w14:paraId="765D063A">
      <w:pPr>
        <w:wordWrap w:val="0"/>
        <w:spacing w:line="480" w:lineRule="auto"/>
        <w:jc w:val="both"/>
        <w:rPr>
          <w:b/>
          <w:bCs/>
          <w:sz w:val="24"/>
          <w:szCs w:val="24"/>
        </w:rPr>
      </w:pPr>
      <w:bookmarkStart w:id="6" w:name="_GoBack"/>
      <w:bookmarkEnd w:id="6"/>
      <w:r>
        <w:rPr>
          <w:rFonts w:hint="eastAsia" w:ascii="宋体" w:hAnsi="宋体" w:cs="宋体"/>
          <w:b/>
          <w:bCs/>
          <w:color w:val="C00000"/>
          <w:sz w:val="28"/>
          <w:szCs w:val="28"/>
        </w:rPr>
        <w:t>（备注：此表由供应商填写，作为评标的重要依据。）</w:t>
      </w:r>
    </w:p>
    <w:p w14:paraId="5D4B96BA">
      <w:pPr>
        <w:wordWrap w:val="0"/>
        <w:spacing w:line="480" w:lineRule="auto"/>
        <w:jc w:val="both"/>
        <w:rPr>
          <w:rFonts w:ascii="宋体" w:hAnsi="宋体"/>
          <w:sz w:val="24"/>
        </w:rPr>
      </w:pPr>
    </w:p>
    <w:p w14:paraId="1E66BC8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jUyNDI3YmY5ZjZhYjI0YzA4YzI0N2E1MGMzYjc2MmIifQ=="/>
  </w:docVars>
  <w:rsids>
    <w:rsidRoot w:val="78887C68"/>
    <w:rsid w:val="00115BA2"/>
    <w:rsid w:val="00565530"/>
    <w:rsid w:val="006D581E"/>
    <w:rsid w:val="00804B66"/>
    <w:rsid w:val="00821438"/>
    <w:rsid w:val="009E4A2C"/>
    <w:rsid w:val="009F3CC3"/>
    <w:rsid w:val="00A356C3"/>
    <w:rsid w:val="00FE6568"/>
    <w:rsid w:val="06B83DAE"/>
    <w:rsid w:val="181A3A94"/>
    <w:rsid w:val="41EB65C3"/>
    <w:rsid w:val="539F1B70"/>
    <w:rsid w:val="69F0140A"/>
    <w:rsid w:val="6C4F4059"/>
    <w:rsid w:val="78887C6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15"/>
      <w:szCs w:val="15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jc w:val="left"/>
    </w:pPr>
    <w:rPr>
      <w:rFonts w:ascii="Courier New" w:hAnsi="Courier New" w:cs="Courier New"/>
      <w:sz w:val="20"/>
      <w:szCs w:val="20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1140</Words>
  <Characters>1178</Characters>
  <Lines>7</Lines>
  <Paragraphs>2</Paragraphs>
  <TotalTime>0</TotalTime>
  <ScaleCrop>false</ScaleCrop>
  <LinksUpToDate>false</LinksUpToDate>
  <CharactersWithSpaces>1181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2023-02-28T14:58:00Z</dcterms:created>
  <dc:creator>张军</dc:creator>
  <cp:lastModifiedBy>蔡永宇</cp:lastModifiedBy>
  <dcterms:modified xsi:type="dcterms:W3CDTF">2026-08-23T01:25:54Z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6668BED0071C438BBCE920AEC2911E36</vt:lpwstr>
  </property>
  <property fmtid="{D5CDD505-2E9C-101B-9397-08002B2CF9AE}" pid="4" name="KSOTemplateDocerSaveRecord">
    <vt:lpwstr>eyJoZGlkIjoiNzBjNGQ2NGEyMzliZTgzMjdiNDZkZWRiMDY5Yzk1ZTMiLCJ1c2VySWQiOiIxODA1NTk2NjIyIn0=</vt:lpwstr>
  </property>
</Properties>
</file>